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19EB" w14:textId="0A87F401" w:rsidR="003C1862" w:rsidRPr="003C1862" w:rsidRDefault="00282611" w:rsidP="003C1862">
      <w:pPr>
        <w:pStyle w:val="Pealkiri1"/>
        <w:numPr>
          <w:ilvl w:val="0"/>
          <w:numId w:val="0"/>
        </w:numPr>
        <w:spacing w:line="276" w:lineRule="auto"/>
        <w:jc w:val="right"/>
        <w:rPr>
          <w:b w:val="0"/>
        </w:rPr>
      </w:pPr>
      <w:r>
        <w:rPr>
          <w:b w:val="0"/>
        </w:rPr>
        <w:t xml:space="preserve">Lisa </w:t>
      </w:r>
      <w:r w:rsidR="00751BA0">
        <w:rPr>
          <w:b w:val="0"/>
        </w:rPr>
        <w:t>III</w:t>
      </w:r>
    </w:p>
    <w:p w14:paraId="3B2035CC" w14:textId="77777777" w:rsidR="003C1862" w:rsidRPr="006177CE" w:rsidRDefault="005F599B" w:rsidP="003C1862">
      <w:pPr>
        <w:pStyle w:val="Pealkiri1"/>
        <w:numPr>
          <w:ilvl w:val="0"/>
          <w:numId w:val="0"/>
        </w:numPr>
        <w:spacing w:line="276" w:lineRule="auto"/>
      </w:pPr>
      <w:r w:rsidRPr="006177CE">
        <w:t>Tehniline kirjeldus</w:t>
      </w:r>
    </w:p>
    <w:p w14:paraId="5DBC9C63" w14:textId="77777777" w:rsidR="003C1862" w:rsidRDefault="003C1862" w:rsidP="003C1862">
      <w:pPr>
        <w:pStyle w:val="Pealkiri1"/>
        <w:numPr>
          <w:ilvl w:val="0"/>
          <w:numId w:val="0"/>
        </w:numPr>
        <w:spacing w:line="276" w:lineRule="auto"/>
      </w:pPr>
      <w:r w:rsidRPr="003C1862">
        <w:rPr>
          <w:b w:val="0"/>
        </w:rPr>
        <w:t>Hankija</w:t>
      </w:r>
      <w:r>
        <w:t xml:space="preserve">: </w:t>
      </w:r>
      <w:r w:rsidRPr="003C1862">
        <w:rPr>
          <w:b w:val="0"/>
        </w:rPr>
        <w:t>Paide Linnavalitsus</w:t>
      </w:r>
    </w:p>
    <w:p w14:paraId="27C87488" w14:textId="63DC03BA" w:rsidR="003C1862" w:rsidRDefault="003C1862" w:rsidP="003E6F01">
      <w:pPr>
        <w:widowControl w:val="0"/>
        <w:autoSpaceDE w:val="0"/>
        <w:autoSpaceDN w:val="0"/>
        <w:adjustRightInd w:val="0"/>
        <w:spacing w:line="276" w:lineRule="auto"/>
        <w:rPr>
          <w:b/>
        </w:rPr>
      </w:pPr>
      <w:r>
        <w:t xml:space="preserve">Riigihange: </w:t>
      </w:r>
      <w:r w:rsidR="003E6F01">
        <w:rPr>
          <w:b/>
        </w:rPr>
        <w:t>„Pai</w:t>
      </w:r>
      <w:r w:rsidR="00AF5B01">
        <w:rPr>
          <w:b/>
        </w:rPr>
        <w:t>de Raekoja siseviimistlus</w:t>
      </w:r>
      <w:r w:rsidR="003E6F01">
        <w:rPr>
          <w:b/>
        </w:rPr>
        <w:t>tööd</w:t>
      </w:r>
      <w:r w:rsidR="003E6F01" w:rsidRPr="00836A8C">
        <w:rPr>
          <w:b/>
        </w:rPr>
        <w:t>“</w:t>
      </w:r>
      <w:r w:rsidR="0068553E">
        <w:rPr>
          <w:b/>
        </w:rPr>
        <w:t xml:space="preserve"> </w:t>
      </w:r>
    </w:p>
    <w:p w14:paraId="502B54D4" w14:textId="77777777" w:rsidR="0068553E" w:rsidRDefault="0068553E" w:rsidP="003E6F01">
      <w:pPr>
        <w:widowControl w:val="0"/>
        <w:autoSpaceDE w:val="0"/>
        <w:autoSpaceDN w:val="0"/>
        <w:adjustRightInd w:val="0"/>
        <w:spacing w:line="276" w:lineRule="auto"/>
        <w:rPr>
          <w:b/>
          <w:lang w:eastAsia="et-EE"/>
        </w:rPr>
      </w:pPr>
    </w:p>
    <w:p w14:paraId="37F9598A" w14:textId="77777777" w:rsidR="003C1862" w:rsidRDefault="003C1862" w:rsidP="0068553E">
      <w:pPr>
        <w:spacing w:line="240" w:lineRule="auto"/>
        <w:rPr>
          <w:szCs w:val="24"/>
        </w:rPr>
      </w:pPr>
    </w:p>
    <w:p w14:paraId="73ECC3A5" w14:textId="77777777" w:rsidR="003C1862" w:rsidRDefault="00F0541A" w:rsidP="00F0541A">
      <w:pPr>
        <w:pStyle w:val="Pealkiri1"/>
      </w:pPr>
      <w:r>
        <w:t>ÜLDOSA</w:t>
      </w:r>
    </w:p>
    <w:p w14:paraId="5D1A79D7" w14:textId="77777777" w:rsidR="00282611" w:rsidRPr="00282611" w:rsidRDefault="00282611" w:rsidP="00E910AE">
      <w:pPr>
        <w:pStyle w:val="Pealkiri2"/>
        <w:numPr>
          <w:ilvl w:val="1"/>
          <w:numId w:val="1"/>
        </w:numPr>
        <w:spacing w:before="120" w:line="276" w:lineRule="auto"/>
        <w:rPr>
          <w:rFonts w:cs="Times New Roman"/>
          <w:szCs w:val="24"/>
        </w:rPr>
      </w:pPr>
      <w:bookmarkStart w:id="0" w:name="_Toc451868540"/>
      <w:bookmarkStart w:id="1" w:name="_Toc451878529"/>
      <w:r w:rsidRPr="00282611">
        <w:rPr>
          <w:rFonts w:cs="Times New Roman"/>
          <w:szCs w:val="24"/>
        </w:rPr>
        <w:t>Sissejuhatus</w:t>
      </w:r>
      <w:bookmarkEnd w:id="0"/>
      <w:bookmarkEnd w:id="1"/>
    </w:p>
    <w:p w14:paraId="5BC11255" w14:textId="77777777" w:rsidR="00282611" w:rsidRPr="00282611" w:rsidRDefault="00282611" w:rsidP="00282611">
      <w:pPr>
        <w:spacing w:line="276" w:lineRule="auto"/>
        <w:rPr>
          <w:szCs w:val="24"/>
          <w:lang w:eastAsia="et-EE"/>
        </w:rPr>
      </w:pPr>
      <w:r w:rsidRPr="00282611">
        <w:rPr>
          <w:szCs w:val="24"/>
          <w:lang w:eastAsia="et-EE"/>
        </w:rPr>
        <w:t xml:space="preserve">Tehnilise kirjelduse punkt 1 on koostatud Tööga seotud üldiste küsimuste käsitlemiseks ja erinevate dokumentatsiooni hulka kuuluvate dokumentide omavaheliste seoste selgitamiseks ning projektdokumentatsiooni täiendamiseks ja mõnedele projektdokumentatsioonis toodud asjaoludele täiendavaks tähelepanu juhtimiseks. Juhul, kui käesolevas Tehnilise kirjelduse esitatud nõuded on rangemad, kui muudes </w:t>
      </w:r>
      <w:r w:rsidR="00D75E93">
        <w:rPr>
          <w:szCs w:val="24"/>
          <w:lang w:eastAsia="et-EE"/>
        </w:rPr>
        <w:t>hankedokumendi</w:t>
      </w:r>
      <w:r w:rsidRPr="00282611">
        <w:rPr>
          <w:szCs w:val="24"/>
          <w:lang w:eastAsia="et-EE"/>
        </w:rPr>
        <w:t xml:space="preserve"> koosseisu kuuluvates dokumentides, kohalduvad käesoleva Tehnilise kirjelduse üldosa nõuded. </w:t>
      </w:r>
    </w:p>
    <w:p w14:paraId="18E92FEE" w14:textId="77777777" w:rsidR="00282611" w:rsidRPr="00282611" w:rsidRDefault="00282611" w:rsidP="00282611">
      <w:pPr>
        <w:spacing w:line="276" w:lineRule="auto"/>
        <w:rPr>
          <w:szCs w:val="24"/>
          <w:lang w:eastAsia="et-EE"/>
        </w:rPr>
      </w:pPr>
    </w:p>
    <w:p w14:paraId="41CDD9FD" w14:textId="441F4FB2" w:rsidR="00DC3711" w:rsidRDefault="002E37BA" w:rsidP="00C86D84">
      <w:pPr>
        <w:rPr>
          <w:noProof/>
        </w:rPr>
      </w:pPr>
      <w:r>
        <w:rPr>
          <w:noProof/>
        </w:rPr>
        <w:t>Pakkuja</w:t>
      </w:r>
      <w:r w:rsidR="00FA5346" w:rsidRPr="002D7ABA">
        <w:rPr>
          <w:noProof/>
        </w:rPr>
        <w:t xml:space="preserve"> peab</w:t>
      </w:r>
      <w:r w:rsidR="00FA5346" w:rsidRPr="002D7ABA">
        <w:rPr>
          <w:b/>
          <w:bCs/>
          <w:noProof/>
        </w:rPr>
        <w:t xml:space="preserve"> </w:t>
      </w:r>
      <w:r w:rsidR="00FA5346" w:rsidRPr="002D7ABA">
        <w:rPr>
          <w:noProof/>
        </w:rPr>
        <w:t>tööde tegemisel juhi</w:t>
      </w:r>
      <w:r w:rsidR="00345F82">
        <w:rPr>
          <w:noProof/>
        </w:rPr>
        <w:t xml:space="preserve">nduma Eestis kehtivatest </w:t>
      </w:r>
      <w:r w:rsidR="00FA5346" w:rsidRPr="002D7ABA">
        <w:rPr>
          <w:noProof/>
        </w:rPr>
        <w:t xml:space="preserve">töödega seotud alljärgnevatest seaduste, standardite, normdokumentide ja juhendite terviktekstidest, mis on kättesaadavad Elektroonilise Riigi Teataja kataloogist – </w:t>
      </w:r>
      <w:hyperlink r:id="rId5" w:history="1">
        <w:r w:rsidR="00FA5346" w:rsidRPr="002D7ABA">
          <w:rPr>
            <w:rStyle w:val="Hperlink"/>
            <w:noProof/>
            <w:color w:val="auto"/>
          </w:rPr>
          <w:t>https://www.riigiteataja.ee/</w:t>
        </w:r>
      </w:hyperlink>
      <w:r w:rsidR="00FA5346" w:rsidRPr="002D7ABA">
        <w:rPr>
          <w:noProof/>
        </w:rPr>
        <w:t xml:space="preserve">, Standardikeskus, Tallinn Aru 10. </w:t>
      </w:r>
      <w:hyperlink r:id="rId6" w:history="1">
        <w:r w:rsidR="00FA5346" w:rsidRPr="002D7ABA">
          <w:rPr>
            <w:rStyle w:val="Hperlink"/>
            <w:noProof/>
            <w:color w:val="auto"/>
          </w:rPr>
          <w:t>http://www.evs.ee/</w:t>
        </w:r>
      </w:hyperlink>
      <w:r w:rsidR="00FA5346" w:rsidRPr="002D7ABA">
        <w:rPr>
          <w:noProof/>
        </w:rPr>
        <w:t xml:space="preserve">, </w:t>
      </w:r>
      <w:r w:rsidR="00D66D1A">
        <w:rPr>
          <w:noProof/>
        </w:rPr>
        <w:t xml:space="preserve">Paide Linnavalitsuse veebilehel </w:t>
      </w:r>
      <w:hyperlink r:id="rId7" w:history="1">
        <w:r w:rsidR="00D66D1A" w:rsidRPr="00D66D1A">
          <w:rPr>
            <w:rStyle w:val="Hperlink"/>
            <w:noProof/>
            <w:color w:val="auto"/>
          </w:rPr>
          <w:t>https://www.paide.kovtp.ee/</w:t>
        </w:r>
      </w:hyperlink>
      <w:r w:rsidR="00D66D1A">
        <w:rPr>
          <w:noProof/>
        </w:rPr>
        <w:t xml:space="preserve"> rubriigist “Õigusaktid”</w:t>
      </w:r>
      <w:r w:rsidR="00345F82">
        <w:rPr>
          <w:noProof/>
        </w:rPr>
        <w:t xml:space="preserve">, </w:t>
      </w:r>
      <w:r w:rsidR="00345F82" w:rsidRPr="00345F82">
        <w:rPr>
          <w:szCs w:val="24"/>
        </w:rPr>
        <w:t xml:space="preserve">Ehitustööde Üldised Kvaliteedinõuded (RYL), Hea Ehitustava </w:t>
      </w:r>
      <w:r w:rsidR="00345F82">
        <w:rPr>
          <w:szCs w:val="24"/>
        </w:rPr>
        <w:t xml:space="preserve">ning </w:t>
      </w:r>
      <w:r w:rsidR="00345F82" w:rsidRPr="00345F82">
        <w:rPr>
          <w:szCs w:val="24"/>
        </w:rPr>
        <w:t>juhendmaterjalid (sh Soome Vaba</w:t>
      </w:r>
      <w:r w:rsidR="00AF5B01">
        <w:rPr>
          <w:szCs w:val="24"/>
        </w:rPr>
        <w:t>riigi erialaliitude väljaanded).</w:t>
      </w:r>
    </w:p>
    <w:p w14:paraId="75250D25" w14:textId="11308798" w:rsidR="00282611" w:rsidRPr="00282611" w:rsidRDefault="00282611" w:rsidP="00282611">
      <w:pPr>
        <w:spacing w:line="276" w:lineRule="auto"/>
        <w:rPr>
          <w:szCs w:val="24"/>
        </w:rPr>
      </w:pPr>
    </w:p>
    <w:p w14:paraId="2976385B" w14:textId="77777777" w:rsidR="00282611" w:rsidRPr="00282611" w:rsidRDefault="00282611" w:rsidP="00282611">
      <w:pPr>
        <w:spacing w:line="276" w:lineRule="auto"/>
        <w:rPr>
          <w:szCs w:val="24"/>
          <w:lang w:eastAsia="et-EE"/>
        </w:rPr>
      </w:pPr>
      <w:r w:rsidRPr="00282611">
        <w:rPr>
          <w:szCs w:val="24"/>
          <w:lang w:eastAsia="et-EE"/>
        </w:rPr>
        <w:t xml:space="preserve">Pakkuja peab arvestama objekti iseloomust tingitult kõigi lisakuludega ja -töödega, mida hankedokumentatsioonis kajastatud ei ole, ent mis on vajalikud hanke lõppeesmärgi saavutamiseks. </w:t>
      </w:r>
    </w:p>
    <w:p w14:paraId="375CD4E6" w14:textId="77777777" w:rsidR="00282611" w:rsidRPr="00282611" w:rsidRDefault="00282611" w:rsidP="00282611">
      <w:pPr>
        <w:spacing w:line="276" w:lineRule="auto"/>
        <w:rPr>
          <w:szCs w:val="24"/>
          <w:lang w:eastAsia="et-EE"/>
        </w:rPr>
      </w:pPr>
    </w:p>
    <w:p w14:paraId="7F604D39" w14:textId="77777777" w:rsidR="00282611" w:rsidRPr="00282611" w:rsidRDefault="00282611" w:rsidP="00282611">
      <w:pPr>
        <w:spacing w:line="276" w:lineRule="auto"/>
        <w:rPr>
          <w:szCs w:val="24"/>
          <w:lang w:eastAsia="et-EE"/>
        </w:rPr>
      </w:pPr>
      <w:r w:rsidRPr="00282611">
        <w:rPr>
          <w:szCs w:val="24"/>
          <w:lang w:eastAsia="et-EE"/>
        </w:rPr>
        <w:t xml:space="preserve">Mitmeti tõlgendatavate lahenduste, formuleeringute ja tööde puhul, kui nende kohta ei ole esitatud hanke ajal täpsustavaid küsimusi, loetakse prioriteetseks Hankija tõlgendus, kusjuures Hankija eeldab, et arvestatud on rangemate nõuetega. </w:t>
      </w:r>
    </w:p>
    <w:p w14:paraId="2C7F8376" w14:textId="77777777" w:rsidR="00282611" w:rsidRPr="00282611" w:rsidRDefault="00282611" w:rsidP="00282611">
      <w:pPr>
        <w:spacing w:line="276" w:lineRule="auto"/>
        <w:rPr>
          <w:szCs w:val="24"/>
        </w:rPr>
      </w:pPr>
    </w:p>
    <w:p w14:paraId="32E3142B" w14:textId="77777777" w:rsidR="00282611" w:rsidRPr="00282611" w:rsidRDefault="00282611" w:rsidP="00282611">
      <w:pPr>
        <w:spacing w:line="276" w:lineRule="auto"/>
        <w:rPr>
          <w:szCs w:val="24"/>
        </w:rPr>
      </w:pPr>
      <w:r w:rsidRPr="00282611">
        <w:rPr>
          <w:szCs w:val="24"/>
        </w:rPr>
        <w:t>Pakkuja esitab Hankija esindajale kõigi Töö tegemiseks kasutatavate materjalide kohta nende valmistaja poolt väljastatud kvaliteeti ning tehnilistele normidele vastavust tõendavad dokumendid enne nende tellimist, kasutamist ja/või paigaldamist. Igal juhul on vaja esitada materjalide tootjapoolsed sertifikaadid ning peale objektile transportimist ka tarnijate saatelehed. Hankija esindajal on õigus peatada Töö, kui Pakkuja ei täida nimetatud kohustust, kusjuures Töö peatamine sellisel juhul ei anna Pakkujale õigust nõuda tööde kestuse pikendamist.</w:t>
      </w:r>
    </w:p>
    <w:p w14:paraId="4C898857" w14:textId="77777777" w:rsidR="00282611" w:rsidRPr="00282611" w:rsidRDefault="00282611" w:rsidP="00282611">
      <w:pPr>
        <w:spacing w:line="276" w:lineRule="auto"/>
        <w:rPr>
          <w:szCs w:val="24"/>
        </w:rPr>
      </w:pPr>
    </w:p>
    <w:p w14:paraId="53405FD3" w14:textId="77777777" w:rsidR="00282611" w:rsidRPr="00282611" w:rsidRDefault="00E910AE" w:rsidP="00E910AE">
      <w:pPr>
        <w:pStyle w:val="Pealkiri2"/>
        <w:numPr>
          <w:ilvl w:val="1"/>
          <w:numId w:val="1"/>
        </w:numPr>
        <w:spacing w:before="120" w:line="276" w:lineRule="auto"/>
        <w:rPr>
          <w:rFonts w:cs="Times New Roman"/>
          <w:szCs w:val="24"/>
        </w:rPr>
      </w:pPr>
      <w:bookmarkStart w:id="2" w:name="_Toc451868541"/>
      <w:bookmarkStart w:id="3" w:name="_Toc451878530"/>
      <w:r>
        <w:rPr>
          <w:rFonts w:cs="Times New Roman"/>
          <w:szCs w:val="24"/>
        </w:rPr>
        <w:t>Hankija</w:t>
      </w:r>
      <w:r w:rsidR="00282611" w:rsidRPr="00282611">
        <w:rPr>
          <w:rFonts w:cs="Times New Roman"/>
          <w:szCs w:val="24"/>
        </w:rPr>
        <w:t xml:space="preserve"> eesmärk</w:t>
      </w:r>
      <w:bookmarkEnd w:id="2"/>
      <w:bookmarkEnd w:id="3"/>
    </w:p>
    <w:p w14:paraId="67A902E8" w14:textId="2AFAB5E8" w:rsidR="00282611" w:rsidRPr="00A047F1" w:rsidRDefault="00AB7946" w:rsidP="00282611">
      <w:pPr>
        <w:spacing w:line="276" w:lineRule="auto"/>
      </w:pPr>
      <w:r w:rsidRPr="00AB7946">
        <w:t>Hankija eesmärk on saada kehtivatele standarditele ja normidele vastav</w:t>
      </w:r>
      <w:r w:rsidR="00C86D84">
        <w:t>ad</w:t>
      </w:r>
      <w:r w:rsidRPr="00AB7946">
        <w:t xml:space="preserve"> kvaliteetselt </w:t>
      </w:r>
      <w:r w:rsidR="00C86D84">
        <w:t>remonditud</w:t>
      </w:r>
      <w:r w:rsidR="00A047F1">
        <w:t xml:space="preserve"> </w:t>
      </w:r>
      <w:r w:rsidR="003E6F01">
        <w:t xml:space="preserve">Paide </w:t>
      </w:r>
      <w:r w:rsidR="00AF5B01">
        <w:t>Raekoja</w:t>
      </w:r>
      <w:r w:rsidR="003E6F01">
        <w:t xml:space="preserve"> </w:t>
      </w:r>
      <w:r w:rsidR="00C86D84">
        <w:t>ruumid</w:t>
      </w:r>
      <w:r w:rsidR="003E6F01">
        <w:t>.</w:t>
      </w:r>
    </w:p>
    <w:p w14:paraId="59E175A4" w14:textId="77777777" w:rsidR="00282611" w:rsidRPr="00282611" w:rsidRDefault="00282611" w:rsidP="00E910AE">
      <w:pPr>
        <w:pStyle w:val="Pealkiri2"/>
        <w:numPr>
          <w:ilvl w:val="1"/>
          <w:numId w:val="1"/>
        </w:numPr>
        <w:spacing w:before="120" w:line="276" w:lineRule="auto"/>
        <w:rPr>
          <w:rFonts w:cs="Times New Roman"/>
          <w:szCs w:val="24"/>
        </w:rPr>
      </w:pPr>
      <w:bookmarkStart w:id="4" w:name="_Toc451868542"/>
      <w:bookmarkStart w:id="5" w:name="_Toc451878531"/>
      <w:r w:rsidRPr="00282611">
        <w:rPr>
          <w:rFonts w:cs="Times New Roman"/>
          <w:szCs w:val="24"/>
        </w:rPr>
        <w:lastRenderedPageBreak/>
        <w:t>Projekti detailsus</w:t>
      </w:r>
      <w:bookmarkEnd w:id="4"/>
      <w:bookmarkEnd w:id="5"/>
    </w:p>
    <w:p w14:paraId="396AFBFB" w14:textId="7095A35A" w:rsidR="00690B9D" w:rsidRPr="00690B9D" w:rsidRDefault="00690B9D" w:rsidP="00690B9D">
      <w:pPr>
        <w:spacing w:line="276" w:lineRule="auto"/>
        <w:rPr>
          <w:szCs w:val="24"/>
        </w:rPr>
      </w:pPr>
      <w:r w:rsidRPr="00690B9D">
        <w:rPr>
          <w:szCs w:val="24"/>
        </w:rPr>
        <w:t xml:space="preserve">Hankedokumendi lisas esitatud skeemidel on määratletud alad ja hinnangulised mahud. </w:t>
      </w:r>
    </w:p>
    <w:p w14:paraId="58519922" w14:textId="77777777" w:rsidR="00282611" w:rsidRPr="00282611" w:rsidRDefault="00282611" w:rsidP="00282611">
      <w:pPr>
        <w:pStyle w:val="Loendilik"/>
        <w:spacing w:line="276" w:lineRule="auto"/>
        <w:rPr>
          <w:szCs w:val="24"/>
          <w:lang w:eastAsia="et-EE"/>
        </w:rPr>
      </w:pPr>
    </w:p>
    <w:p w14:paraId="4D6C9C18" w14:textId="77777777" w:rsidR="00A3175A" w:rsidRPr="00282611" w:rsidRDefault="00A3175A" w:rsidP="00282611">
      <w:pPr>
        <w:spacing w:line="276" w:lineRule="auto"/>
        <w:rPr>
          <w:szCs w:val="24"/>
        </w:rPr>
      </w:pPr>
      <w:r>
        <w:rPr>
          <w:szCs w:val="24"/>
        </w:rPr>
        <w:t>Materjalid</w:t>
      </w:r>
      <w:r w:rsidR="00282611" w:rsidRPr="00282611">
        <w:rPr>
          <w:szCs w:val="24"/>
        </w:rPr>
        <w:t xml:space="preserve"> on hankedokumentatsiooni lisana pakkujatele kättesaadav</w:t>
      </w:r>
      <w:r>
        <w:rPr>
          <w:szCs w:val="24"/>
        </w:rPr>
        <w:t>ad</w:t>
      </w:r>
      <w:r w:rsidR="00282611" w:rsidRPr="00282611">
        <w:rPr>
          <w:szCs w:val="24"/>
        </w:rPr>
        <w:t>.</w:t>
      </w:r>
    </w:p>
    <w:p w14:paraId="74789020" w14:textId="46488F4E" w:rsidR="00282611" w:rsidRPr="00282611" w:rsidRDefault="00282611" w:rsidP="00282611">
      <w:pPr>
        <w:spacing w:line="276" w:lineRule="auto"/>
        <w:rPr>
          <w:szCs w:val="24"/>
        </w:rPr>
      </w:pPr>
    </w:p>
    <w:p w14:paraId="503E1CA7" w14:textId="77777777" w:rsidR="00282611" w:rsidRDefault="00282611" w:rsidP="00282611">
      <w:pPr>
        <w:spacing w:line="276" w:lineRule="auto"/>
        <w:rPr>
          <w:szCs w:val="24"/>
          <w:lang w:eastAsia="et-EE"/>
        </w:rPr>
      </w:pPr>
      <w:r w:rsidRPr="00282611">
        <w:rPr>
          <w:szCs w:val="24"/>
          <w:lang w:eastAsia="et-EE"/>
        </w:rPr>
        <w:t>Pakkuja poolt koostatud projektlahenduse õigsuse ja vastavuse eest vastutab Pakkuja ning Hankija kooskõlastus ei vähenda ega vabasta Pakkujat vastutusest, s.t. täisvastutus teostatu eest lasub Pakkujal.</w:t>
      </w:r>
    </w:p>
    <w:p w14:paraId="4DB1ACE7" w14:textId="37A89780" w:rsidR="00282611" w:rsidRPr="00282611" w:rsidRDefault="00282611" w:rsidP="00282611">
      <w:pPr>
        <w:autoSpaceDE w:val="0"/>
        <w:autoSpaceDN w:val="0"/>
        <w:adjustRightInd w:val="0"/>
        <w:spacing w:line="276" w:lineRule="auto"/>
        <w:rPr>
          <w:szCs w:val="24"/>
          <w:lang w:eastAsia="et-EE"/>
        </w:rPr>
      </w:pPr>
    </w:p>
    <w:p w14:paraId="3442F3FC" w14:textId="77777777" w:rsidR="00282611" w:rsidRPr="00282611" w:rsidRDefault="00282611" w:rsidP="00E910AE">
      <w:pPr>
        <w:pStyle w:val="Pealkiri2"/>
        <w:numPr>
          <w:ilvl w:val="1"/>
          <w:numId w:val="1"/>
        </w:numPr>
        <w:spacing w:before="120" w:line="276" w:lineRule="auto"/>
        <w:rPr>
          <w:rFonts w:cs="Times New Roman"/>
          <w:szCs w:val="24"/>
        </w:rPr>
      </w:pPr>
      <w:bookmarkStart w:id="6" w:name="_Toc451868543"/>
      <w:bookmarkStart w:id="7" w:name="_Toc451878532"/>
      <w:r w:rsidRPr="00282611">
        <w:rPr>
          <w:rFonts w:cs="Times New Roman"/>
          <w:szCs w:val="24"/>
        </w:rPr>
        <w:t>Kvaliteedinõuded</w:t>
      </w:r>
      <w:bookmarkEnd w:id="6"/>
      <w:bookmarkEnd w:id="7"/>
    </w:p>
    <w:p w14:paraId="0796CAC4" w14:textId="77777777" w:rsidR="00282611" w:rsidRDefault="00282611" w:rsidP="00282611">
      <w:pPr>
        <w:spacing w:line="276" w:lineRule="auto"/>
        <w:rPr>
          <w:szCs w:val="24"/>
        </w:rPr>
      </w:pPr>
      <w:r w:rsidRPr="00282611">
        <w:rPr>
          <w:szCs w:val="24"/>
        </w:rPr>
        <w:t>Asjaolu, et dokumentatsioonis, sh projektdokumentatsioonis puudub viide asjakohasele seadusele, määrusele, ehitus- ja projekteerimisnormile või standardile, ei vabasta Pakkujat kohalduvate nõuete täitmisest. Kui pakkumise dokumentatsioonis, sh projektdokumentatsioonis, on viidatud erineva rangusega nõuetele, normidele jms, siis kehtib rangeim nõue, norm, käsitlus.</w:t>
      </w:r>
    </w:p>
    <w:p w14:paraId="3EED67DE" w14:textId="77777777" w:rsidR="00345F82" w:rsidRDefault="00345F82" w:rsidP="00282611">
      <w:pPr>
        <w:spacing w:line="276" w:lineRule="auto"/>
        <w:rPr>
          <w:szCs w:val="24"/>
        </w:rPr>
      </w:pPr>
    </w:p>
    <w:p w14:paraId="34B67F00" w14:textId="77777777" w:rsidR="00345F82" w:rsidRPr="00345F82" w:rsidRDefault="00345F82" w:rsidP="00345F82">
      <w:pPr>
        <w:rPr>
          <w:szCs w:val="24"/>
          <w:lang w:eastAsia="et-EE"/>
        </w:rPr>
      </w:pPr>
      <w:r w:rsidRPr="00345F82">
        <w:rPr>
          <w:szCs w:val="24"/>
        </w:rPr>
        <w:t>Tööd peavad vastama R</w:t>
      </w:r>
      <w:r>
        <w:rPr>
          <w:szCs w:val="24"/>
        </w:rPr>
        <w:t>YL-i kvaliteediklassile 2</w:t>
      </w:r>
      <w:r w:rsidRPr="00345F82">
        <w:rPr>
          <w:szCs w:val="24"/>
        </w:rPr>
        <w:t>. Eesti Vabariigis vastavate ehitusnormide puudumisel võetakse aluseks sarnased Euroopa Liidus kehtivad ehitusnormid. Normide ja nõuete erinevuste korral järgitakse neist rangemaid.</w:t>
      </w:r>
      <w:r w:rsidRPr="00345F82">
        <w:rPr>
          <w:szCs w:val="24"/>
          <w:lang w:eastAsia="et-EE"/>
        </w:rPr>
        <w:t xml:space="preserve"> </w:t>
      </w:r>
    </w:p>
    <w:p w14:paraId="5832E430" w14:textId="77777777" w:rsidR="00345F82" w:rsidRDefault="00345F82" w:rsidP="00345F82">
      <w:pPr>
        <w:rPr>
          <w:szCs w:val="24"/>
          <w:lang w:eastAsia="et-EE"/>
        </w:rPr>
      </w:pPr>
    </w:p>
    <w:p w14:paraId="5972B6A7" w14:textId="77777777" w:rsidR="00282611" w:rsidRPr="00282611" w:rsidRDefault="00282611" w:rsidP="00E910AE">
      <w:pPr>
        <w:pStyle w:val="Pealkiri2"/>
        <w:numPr>
          <w:ilvl w:val="1"/>
          <w:numId w:val="1"/>
        </w:numPr>
        <w:spacing w:before="120" w:line="276" w:lineRule="auto"/>
        <w:rPr>
          <w:rFonts w:cs="Times New Roman"/>
          <w:szCs w:val="24"/>
        </w:rPr>
      </w:pPr>
      <w:bookmarkStart w:id="8" w:name="_Toc345026306"/>
      <w:bookmarkStart w:id="9" w:name="_Toc345026483"/>
      <w:bookmarkStart w:id="10" w:name="_Toc345048176"/>
      <w:bookmarkStart w:id="11" w:name="_Toc345598716"/>
      <w:bookmarkStart w:id="12" w:name="_Toc345609786"/>
      <w:bookmarkStart w:id="13" w:name="_Toc451868544"/>
      <w:bookmarkStart w:id="14" w:name="_Toc451878533"/>
      <w:bookmarkEnd w:id="8"/>
      <w:bookmarkEnd w:id="9"/>
      <w:bookmarkEnd w:id="10"/>
      <w:bookmarkEnd w:id="11"/>
      <w:bookmarkEnd w:id="12"/>
      <w:r w:rsidRPr="00282611">
        <w:rPr>
          <w:rFonts w:cs="Times New Roman"/>
          <w:szCs w:val="24"/>
        </w:rPr>
        <w:t>Samaväärsus</w:t>
      </w:r>
      <w:bookmarkEnd w:id="13"/>
      <w:bookmarkEnd w:id="14"/>
    </w:p>
    <w:p w14:paraId="20D61117" w14:textId="6D09086A" w:rsidR="00282611" w:rsidRPr="00282611" w:rsidRDefault="00282611" w:rsidP="00282611">
      <w:pPr>
        <w:spacing w:line="276" w:lineRule="auto"/>
        <w:rPr>
          <w:szCs w:val="24"/>
        </w:rPr>
      </w:pPr>
      <w:r w:rsidRPr="00282611">
        <w:rPr>
          <w:szCs w:val="24"/>
        </w:rPr>
        <w:t xml:space="preserve">Pakkuja võib Hankijale pakkuda erinevate materjalide, kuid peab arvestama, et </w:t>
      </w:r>
      <w:r w:rsidR="00345F82">
        <w:rPr>
          <w:szCs w:val="24"/>
        </w:rPr>
        <w:t>HD</w:t>
      </w:r>
      <w:r w:rsidR="007F2678">
        <w:rPr>
          <w:szCs w:val="24"/>
        </w:rPr>
        <w:t>-s</w:t>
      </w:r>
      <w:r w:rsidR="00345F82">
        <w:rPr>
          <w:szCs w:val="24"/>
        </w:rPr>
        <w:t xml:space="preserve"> esitatud</w:t>
      </w:r>
      <w:r w:rsidRPr="00282611">
        <w:rPr>
          <w:szCs w:val="24"/>
        </w:rPr>
        <w:t xml:space="preserve"> tehnilised andmed on materjalile, </w:t>
      </w:r>
      <w:r w:rsidR="00E963EA">
        <w:rPr>
          <w:szCs w:val="24"/>
        </w:rPr>
        <w:t>tootele</w:t>
      </w:r>
      <w:r w:rsidRPr="00282611">
        <w:rPr>
          <w:szCs w:val="24"/>
        </w:rPr>
        <w:t xml:space="preserve"> jms miinimumnõudeks - samaväärne materjal, </w:t>
      </w:r>
      <w:r w:rsidR="00E963EA">
        <w:rPr>
          <w:szCs w:val="24"/>
        </w:rPr>
        <w:t>toode</w:t>
      </w:r>
      <w:r w:rsidRPr="00282611">
        <w:rPr>
          <w:szCs w:val="24"/>
        </w:rPr>
        <w:t xml:space="preserve"> jms on projektdokumentatsioonis tooduga samaväärne või sellest parem tehniliste parameetrite, kvaliteedi, väljanägemise, kasutus- ja hooldusmugavuse jms poolest. Kui </w:t>
      </w:r>
      <w:r w:rsidR="007F2678">
        <w:rPr>
          <w:szCs w:val="24"/>
        </w:rPr>
        <w:t>hankedokumendis</w:t>
      </w:r>
      <w:r w:rsidRPr="00282611">
        <w:rPr>
          <w:szCs w:val="24"/>
        </w:rPr>
        <w:t xml:space="preserve"> ja/või muus käesoleva riigihanke eseme tehnilist kirjeldust sisalduvas dokumendis on viidatud kindlale standardile, ostuallikale, protsessile, kaubamärgile, patendile, tüübile, päritolule või tootmisviisile, tuleb seda lugeda ja mõista selliselt, et lubatud on samaväärsed standardid, allikad, protsessid jne.</w:t>
      </w:r>
    </w:p>
    <w:p w14:paraId="4F5A72D3" w14:textId="77777777" w:rsidR="00282611" w:rsidRPr="00282611" w:rsidRDefault="00282611" w:rsidP="00282611">
      <w:pPr>
        <w:spacing w:line="276" w:lineRule="auto"/>
        <w:rPr>
          <w:szCs w:val="24"/>
        </w:rPr>
      </w:pPr>
    </w:p>
    <w:p w14:paraId="5BF3EFD4" w14:textId="77777777" w:rsidR="00282611" w:rsidRPr="00282611" w:rsidRDefault="00282611" w:rsidP="00E963EA">
      <w:pPr>
        <w:pStyle w:val="Pealkiri1"/>
        <w:rPr>
          <w:rFonts w:eastAsia="Calibri"/>
          <w:lang w:eastAsia="et-EE"/>
        </w:rPr>
      </w:pPr>
      <w:bookmarkStart w:id="15" w:name="_Toc451868545"/>
      <w:bookmarkStart w:id="16" w:name="_Toc451878534"/>
      <w:r w:rsidRPr="00E963EA">
        <w:rPr>
          <w:rFonts w:eastAsia="Calibri"/>
        </w:rPr>
        <w:t>Töövõtu</w:t>
      </w:r>
      <w:r w:rsidRPr="00282611">
        <w:rPr>
          <w:rFonts w:eastAsia="Calibri"/>
          <w:lang w:eastAsia="et-EE"/>
        </w:rPr>
        <w:t xml:space="preserve"> ulatus</w:t>
      </w:r>
      <w:bookmarkEnd w:id="15"/>
      <w:bookmarkEnd w:id="16"/>
    </w:p>
    <w:p w14:paraId="3844766D" w14:textId="77777777" w:rsidR="00282611" w:rsidRPr="00155AF2" w:rsidRDefault="00690B9D" w:rsidP="00282611">
      <w:pPr>
        <w:spacing w:line="276" w:lineRule="auto"/>
      </w:pPr>
      <w:r w:rsidRPr="00282611">
        <w:t xml:space="preserve">Käesolevas peatükis on käsitletud hangitava töövõtu </w:t>
      </w:r>
      <w:r>
        <w:t>üldist ulatust ja planeeritud tegevusi ning hankija</w:t>
      </w:r>
      <w:r w:rsidRPr="00331C62">
        <w:t xml:space="preserve"> nõuded</w:t>
      </w:r>
      <w:r>
        <w:t>.</w:t>
      </w:r>
    </w:p>
    <w:p w14:paraId="317D223C" w14:textId="0E401755" w:rsidR="00690B9D" w:rsidRPr="00BE4F13" w:rsidRDefault="00C86D84" w:rsidP="00690B9D">
      <w:pPr>
        <w:pStyle w:val="Pealkiri2"/>
        <w:numPr>
          <w:ilvl w:val="1"/>
          <w:numId w:val="1"/>
        </w:numPr>
        <w:spacing w:before="200" w:line="240" w:lineRule="auto"/>
        <w:jc w:val="left"/>
      </w:pPr>
      <w:r>
        <w:t>Ruumide remont</w:t>
      </w:r>
      <w:r w:rsidR="00690B9D">
        <w:t>tööd</w:t>
      </w:r>
    </w:p>
    <w:p w14:paraId="2897159D" w14:textId="51C7237D" w:rsidR="00690B9D" w:rsidRDefault="00DC3711" w:rsidP="00690B9D">
      <w:pPr>
        <w:spacing w:line="276" w:lineRule="auto"/>
      </w:pPr>
      <w:r>
        <w:t>Ehitus</w:t>
      </w:r>
      <w:r w:rsidR="00690B9D" w:rsidRPr="00BE4F13">
        <w:t xml:space="preserve">tööd </w:t>
      </w:r>
      <w:r>
        <w:t xml:space="preserve">viiakse läbi </w:t>
      </w:r>
      <w:r w:rsidR="00AF5B01">
        <w:t xml:space="preserve">Paide Raekojas </w:t>
      </w:r>
      <w:r>
        <w:t xml:space="preserve">aadressiga </w:t>
      </w:r>
      <w:r w:rsidR="00AF5B01">
        <w:t>Keskväljak 14</w:t>
      </w:r>
      <w:r>
        <w:t>, Paide.</w:t>
      </w:r>
    </w:p>
    <w:p w14:paraId="4724FC41" w14:textId="0E94CB9D" w:rsidR="00690B9D" w:rsidRDefault="00690B9D" w:rsidP="00690B9D">
      <w:pPr>
        <w:spacing w:line="276" w:lineRule="auto"/>
      </w:pPr>
    </w:p>
    <w:p w14:paraId="791752C9" w14:textId="1969EA55" w:rsidR="00C86D84" w:rsidRPr="00C86D84" w:rsidRDefault="00690B9D" w:rsidP="00C86D84">
      <w:pPr>
        <w:spacing w:line="276" w:lineRule="auto"/>
        <w:rPr>
          <w:lang w:eastAsia="et-EE"/>
        </w:rPr>
      </w:pPr>
      <w:r>
        <w:rPr>
          <w:lang w:eastAsia="et-EE"/>
        </w:rPr>
        <w:t>Lähteülesande koostamise alus</w:t>
      </w:r>
      <w:r w:rsidR="00DC3711">
        <w:rPr>
          <w:lang w:eastAsia="et-EE"/>
        </w:rPr>
        <w:t>eks on võetud visuaalne vaatlus</w:t>
      </w:r>
      <w:r w:rsidR="00AF5B01">
        <w:rPr>
          <w:lang w:eastAsia="et-EE"/>
        </w:rPr>
        <w:t>.</w:t>
      </w:r>
      <w:r w:rsidR="00C86D84" w:rsidRPr="00C86D84">
        <w:rPr>
          <w:lang w:eastAsia="et-EE"/>
        </w:rPr>
        <w:t xml:space="preserve"> </w:t>
      </w:r>
    </w:p>
    <w:p w14:paraId="7581926D" w14:textId="77777777" w:rsidR="00157C73" w:rsidRDefault="00157C73" w:rsidP="00690B9D">
      <w:pPr>
        <w:spacing w:line="276" w:lineRule="auto"/>
      </w:pPr>
    </w:p>
    <w:p w14:paraId="290E0C30" w14:textId="5AA0559C" w:rsidR="00157C73" w:rsidRPr="006B44F6" w:rsidRDefault="006B44F6" w:rsidP="00690B9D">
      <w:pPr>
        <w:spacing w:line="276" w:lineRule="auto"/>
        <w:rPr>
          <w:u w:val="single"/>
        </w:rPr>
      </w:pPr>
      <w:r w:rsidRPr="006B44F6">
        <w:rPr>
          <w:u w:val="single"/>
        </w:rPr>
        <w:t>Tööde kirjeldus on järgmine:</w:t>
      </w:r>
    </w:p>
    <w:p w14:paraId="77FAF358" w14:textId="76342AE6" w:rsidR="004D6EC2" w:rsidRPr="00CC0376" w:rsidRDefault="00690B9D" w:rsidP="00CC0376">
      <w:pPr>
        <w:spacing w:line="276" w:lineRule="auto"/>
      </w:pPr>
      <w:r w:rsidRPr="00672260">
        <w:t xml:space="preserve">Töö käigus </w:t>
      </w:r>
      <w:r w:rsidR="00AF5B01">
        <w:t>kaetakse põrandad, põrandaliistud, uksed, aknad vajalikus mahus kiledega, paberiga ning tõkestatud peab olema tolmulevik teistesse ruumidesse</w:t>
      </w:r>
      <w:r w:rsidR="004D6EC2">
        <w:t>;</w:t>
      </w:r>
      <w:r w:rsidR="00C02DCD">
        <w:t xml:space="preserve"> </w:t>
      </w:r>
    </w:p>
    <w:p w14:paraId="2E63F3AB" w14:textId="6D03C0D2" w:rsidR="00C86D84" w:rsidRDefault="00AF5B01" w:rsidP="00C86D84">
      <w:pPr>
        <w:rPr>
          <w:szCs w:val="24"/>
        </w:rPr>
      </w:pPr>
      <w:r>
        <w:rPr>
          <w:szCs w:val="24"/>
        </w:rPr>
        <w:t>tammest mööbliplaadi eemaldamine (ukse pale) ja utiliseerimine</w:t>
      </w:r>
      <w:r w:rsidR="00C86D84">
        <w:rPr>
          <w:szCs w:val="24"/>
        </w:rPr>
        <w:t>;</w:t>
      </w:r>
    </w:p>
    <w:p w14:paraId="379313FD" w14:textId="4CC59A77" w:rsidR="008C52A4" w:rsidRDefault="00AF5B01" w:rsidP="00C86D84">
      <w:pPr>
        <w:rPr>
          <w:szCs w:val="24"/>
        </w:rPr>
      </w:pPr>
      <w:r>
        <w:rPr>
          <w:szCs w:val="24"/>
        </w:rPr>
        <w:lastRenderedPageBreak/>
        <w:t>olevate seinapindade ettevalmistustööd (sh lahtise viimistluskihi eemaldamine ca 30m² ulatuses)</w:t>
      </w:r>
      <w:r w:rsidR="008C52A4">
        <w:rPr>
          <w:szCs w:val="24"/>
        </w:rPr>
        <w:t>;</w:t>
      </w:r>
    </w:p>
    <w:p w14:paraId="727C9924" w14:textId="397FC6AC" w:rsidR="008C52A4" w:rsidRDefault="00AF5B01" w:rsidP="00C86D84">
      <w:pPr>
        <w:rPr>
          <w:szCs w:val="24"/>
        </w:rPr>
      </w:pPr>
      <w:r>
        <w:rPr>
          <w:szCs w:val="24"/>
        </w:rPr>
        <w:t>seinapindade katmine soolasid tõkestava kaitsevahendiga ja  tasanduskrohvimine (maht ca 30m²)</w:t>
      </w:r>
    </w:p>
    <w:p w14:paraId="545D4925" w14:textId="77777777" w:rsidR="00C6778C" w:rsidRDefault="00C6778C" w:rsidP="00C86D84">
      <w:pPr>
        <w:rPr>
          <w:szCs w:val="24"/>
        </w:rPr>
      </w:pPr>
      <w:r>
        <w:rPr>
          <w:szCs w:val="24"/>
        </w:rPr>
        <w:t>seinapindade viimistlemine (sh pahteldamine, värvimine);</w:t>
      </w:r>
    </w:p>
    <w:p w14:paraId="0107B2FD" w14:textId="7204EDD1" w:rsidR="0069102B" w:rsidRPr="006B18C8" w:rsidRDefault="00C6778C" w:rsidP="00C86D84">
      <w:pPr>
        <w:rPr>
          <w:szCs w:val="24"/>
        </w:rPr>
      </w:pPr>
      <w:r>
        <w:rPr>
          <w:szCs w:val="24"/>
        </w:rPr>
        <w:t>tammest mööblip</w:t>
      </w:r>
      <w:r>
        <w:rPr>
          <w:szCs w:val="24"/>
        </w:rPr>
        <w:t>laadi tarne ja paigaldus (ukse pale)</w:t>
      </w:r>
      <w:r>
        <w:rPr>
          <w:szCs w:val="24"/>
        </w:rPr>
        <w:t>;</w:t>
      </w:r>
    </w:p>
    <w:p w14:paraId="0C6233A5" w14:textId="5C2DF74E" w:rsidR="00C86D84" w:rsidRPr="006B18C8" w:rsidRDefault="00C86D84" w:rsidP="00C86D84">
      <w:pPr>
        <w:rPr>
          <w:szCs w:val="24"/>
        </w:rPr>
      </w:pPr>
      <w:r w:rsidRPr="006B18C8">
        <w:rPr>
          <w:szCs w:val="24"/>
        </w:rPr>
        <w:t>ehitustööd</w:t>
      </w:r>
      <w:r w:rsidR="00C6778C">
        <w:rPr>
          <w:szCs w:val="24"/>
        </w:rPr>
        <w:t>e juhtimine,</w:t>
      </w:r>
      <w:r w:rsidRPr="006B18C8">
        <w:rPr>
          <w:szCs w:val="24"/>
        </w:rPr>
        <w:t xml:space="preserve"> korrashoid</w:t>
      </w:r>
      <w:r w:rsidR="00C6778C">
        <w:rPr>
          <w:szCs w:val="24"/>
        </w:rPr>
        <w:t>, lõpukoristus</w:t>
      </w:r>
      <w:r w:rsidRPr="006B18C8">
        <w:rPr>
          <w:szCs w:val="24"/>
        </w:rPr>
        <w:t xml:space="preserve"> ning objekti üle- ja käiku</w:t>
      </w:r>
      <w:r>
        <w:rPr>
          <w:szCs w:val="24"/>
        </w:rPr>
        <w:t xml:space="preserve"> </w:t>
      </w:r>
      <w:r w:rsidRPr="006B18C8">
        <w:rPr>
          <w:szCs w:val="24"/>
        </w:rPr>
        <w:t>andmisega seotud tegevused;</w:t>
      </w:r>
    </w:p>
    <w:p w14:paraId="02D64D1B" w14:textId="77777777" w:rsidR="00277C63" w:rsidRPr="00282611" w:rsidRDefault="00277C63" w:rsidP="00277C63">
      <w:pPr>
        <w:pStyle w:val="Pealkiri1"/>
        <w:rPr>
          <w:rFonts w:eastAsia="Calibri"/>
          <w:lang w:eastAsia="et-EE"/>
        </w:rPr>
      </w:pPr>
      <w:bookmarkStart w:id="17" w:name="_Toc451868550"/>
      <w:bookmarkStart w:id="18" w:name="_Toc451878539"/>
      <w:r w:rsidRPr="00BF5075">
        <w:rPr>
          <w:rFonts w:eastAsia="Calibri"/>
        </w:rPr>
        <w:t>Nõuded</w:t>
      </w:r>
      <w:r w:rsidRPr="00282611">
        <w:rPr>
          <w:rFonts w:eastAsia="Calibri"/>
          <w:lang w:eastAsia="et-EE"/>
        </w:rPr>
        <w:t xml:space="preserve"> Tööde teostamisel</w:t>
      </w:r>
      <w:bookmarkEnd w:id="17"/>
      <w:bookmarkEnd w:id="18"/>
    </w:p>
    <w:p w14:paraId="7C1731BE" w14:textId="77777777" w:rsidR="00277C63" w:rsidRPr="00282611" w:rsidRDefault="00277C63" w:rsidP="00277C63">
      <w:pPr>
        <w:pStyle w:val="Pealkiri2"/>
        <w:numPr>
          <w:ilvl w:val="1"/>
          <w:numId w:val="1"/>
        </w:numPr>
        <w:spacing w:before="120" w:line="276" w:lineRule="auto"/>
        <w:rPr>
          <w:rFonts w:cs="Times New Roman"/>
          <w:szCs w:val="24"/>
        </w:rPr>
      </w:pPr>
      <w:bookmarkStart w:id="19" w:name="_Toc345026316"/>
      <w:bookmarkStart w:id="20" w:name="_Toc345026493"/>
      <w:bookmarkStart w:id="21" w:name="_Toc345048187"/>
      <w:bookmarkStart w:id="22" w:name="_Toc345598738"/>
      <w:bookmarkStart w:id="23" w:name="_Toc345609809"/>
      <w:bookmarkStart w:id="24" w:name="_Toc451868553"/>
      <w:bookmarkStart w:id="25" w:name="_Toc451878542"/>
      <w:bookmarkEnd w:id="19"/>
      <w:bookmarkEnd w:id="20"/>
      <w:bookmarkEnd w:id="21"/>
      <w:bookmarkEnd w:id="22"/>
      <w:bookmarkEnd w:id="23"/>
      <w:r w:rsidRPr="00282611">
        <w:rPr>
          <w:rFonts w:cs="Times New Roman"/>
          <w:szCs w:val="24"/>
        </w:rPr>
        <w:t>Tööohutus</w:t>
      </w:r>
      <w:bookmarkEnd w:id="24"/>
      <w:bookmarkEnd w:id="25"/>
    </w:p>
    <w:p w14:paraId="20DC30B9" w14:textId="77777777" w:rsidR="00277C63" w:rsidRPr="00282611" w:rsidRDefault="00277C63" w:rsidP="00277C63">
      <w:pPr>
        <w:spacing w:line="276" w:lineRule="auto"/>
        <w:rPr>
          <w:szCs w:val="24"/>
        </w:rPr>
      </w:pPr>
      <w:r w:rsidRPr="00282611">
        <w:rPr>
          <w:szCs w:val="24"/>
        </w:rPr>
        <w:t>Pakkuja peab varustama oma personali kaitsekiivritega, kinnastega, helkurvestiga, kaitsejalanõudega, jm tööliigist sõltuvalt vajalike individuaal- ja rühmakaitsevahenditega. Kaitsevahendite valikul erinevat tüüpi tööde tegemisel tuleb juhinduda Vabariigi Valitsuse 11.01.2000 määruse nr 12 „Isikukaitsevahendite valimise ja kasutamise kord“ nõuetest. Pakkuja peab tagama, et kaitsevahendite kasutamine on kohustuslik nii töölistele kui ka muudele ehitusalal viibivatele inimestele nende ehitusalal viibimise ajal. Kiivri kandmine on kohustuslik kõigile Ehitusplatsile sisenevatele inimestele.</w:t>
      </w:r>
    </w:p>
    <w:p w14:paraId="3A45F5DC" w14:textId="77777777" w:rsidR="00277C63" w:rsidRPr="00282611" w:rsidRDefault="00277C63" w:rsidP="00277C63">
      <w:pPr>
        <w:spacing w:line="276" w:lineRule="auto"/>
        <w:rPr>
          <w:szCs w:val="24"/>
        </w:rPr>
      </w:pPr>
    </w:p>
    <w:p w14:paraId="124397A9" w14:textId="77777777" w:rsidR="00277C63" w:rsidRPr="0069086C" w:rsidRDefault="00277C63" w:rsidP="00277C63">
      <w:pPr>
        <w:pStyle w:val="Pealkiri2"/>
        <w:numPr>
          <w:ilvl w:val="1"/>
          <w:numId w:val="1"/>
        </w:numPr>
        <w:spacing w:before="120" w:line="276" w:lineRule="auto"/>
        <w:rPr>
          <w:rFonts w:cs="Times New Roman"/>
          <w:szCs w:val="24"/>
        </w:rPr>
      </w:pPr>
      <w:bookmarkStart w:id="26" w:name="_Toc345026495"/>
      <w:bookmarkStart w:id="27" w:name="_Toc345048189"/>
      <w:bookmarkStart w:id="28" w:name="_Toc345598740"/>
      <w:bookmarkStart w:id="29" w:name="_Toc345609811"/>
      <w:bookmarkStart w:id="30" w:name="_Toc451868554"/>
      <w:bookmarkStart w:id="31" w:name="_Toc451878543"/>
      <w:bookmarkEnd w:id="26"/>
      <w:bookmarkEnd w:id="27"/>
      <w:bookmarkEnd w:id="28"/>
      <w:bookmarkEnd w:id="29"/>
      <w:r w:rsidRPr="00282611">
        <w:rPr>
          <w:rFonts w:cs="Times New Roman"/>
          <w:szCs w:val="24"/>
        </w:rPr>
        <w:t>Nõuded tööde teostamisele</w:t>
      </w:r>
      <w:bookmarkEnd w:id="30"/>
      <w:bookmarkEnd w:id="31"/>
    </w:p>
    <w:p w14:paraId="461DD91B" w14:textId="5526C222" w:rsidR="00277C63" w:rsidRDefault="00277C63" w:rsidP="00277C63">
      <w:pPr>
        <w:spacing w:line="276" w:lineRule="auto"/>
        <w:rPr>
          <w:szCs w:val="24"/>
        </w:rPr>
      </w:pPr>
      <w:r w:rsidRPr="00282611">
        <w:rPr>
          <w:szCs w:val="24"/>
        </w:rPr>
        <w:t>Töömaa üleandmine Pakkujale to</w:t>
      </w:r>
      <w:r>
        <w:rPr>
          <w:szCs w:val="24"/>
        </w:rPr>
        <w:t>imub peale lepingu sõlmimist.</w:t>
      </w:r>
    </w:p>
    <w:p w14:paraId="021EA8D2" w14:textId="77777777" w:rsidR="00277C63" w:rsidRPr="00D6047A" w:rsidRDefault="00277C63" w:rsidP="00277C63">
      <w:pPr>
        <w:spacing w:line="276" w:lineRule="auto"/>
        <w:rPr>
          <w:szCs w:val="24"/>
          <w:lang w:eastAsia="et-EE"/>
        </w:rPr>
      </w:pPr>
    </w:p>
    <w:p w14:paraId="6D3F22C1" w14:textId="77777777" w:rsidR="00277C63" w:rsidRPr="00282611" w:rsidRDefault="00277C63" w:rsidP="00277C63">
      <w:pPr>
        <w:spacing w:line="276" w:lineRule="auto"/>
        <w:rPr>
          <w:szCs w:val="24"/>
          <w:lang w:eastAsia="et-EE"/>
        </w:rPr>
      </w:pPr>
      <w:r w:rsidRPr="00282611">
        <w:rPr>
          <w:szCs w:val="24"/>
          <w:lang w:eastAsia="et-EE"/>
        </w:rPr>
        <w:t>Pakkuja teeb Hankijaga igakülgset koostööd turvalisuse, varade säilimise ning korrashoiu tagamiseks tööde tegemise ajal.</w:t>
      </w:r>
    </w:p>
    <w:p w14:paraId="2A25353C" w14:textId="77777777" w:rsidR="00277C63" w:rsidRPr="00282611" w:rsidRDefault="00277C63" w:rsidP="00277C63">
      <w:pPr>
        <w:spacing w:line="276" w:lineRule="auto"/>
        <w:rPr>
          <w:szCs w:val="24"/>
        </w:rPr>
      </w:pPr>
    </w:p>
    <w:p w14:paraId="70781796" w14:textId="2BA738C6" w:rsidR="00277C63" w:rsidRPr="00282611" w:rsidRDefault="00277C63" w:rsidP="00277C63">
      <w:pPr>
        <w:spacing w:line="276" w:lineRule="auto"/>
        <w:rPr>
          <w:szCs w:val="24"/>
          <w:lang w:eastAsia="et-EE"/>
        </w:rPr>
      </w:pPr>
      <w:r w:rsidRPr="00282611">
        <w:rPr>
          <w:szCs w:val="24"/>
          <w:lang w:eastAsia="et-EE"/>
        </w:rPr>
        <w:t xml:space="preserve">Pakkuja tagab </w:t>
      </w:r>
      <w:r w:rsidR="002C410B">
        <w:rPr>
          <w:szCs w:val="24"/>
          <w:lang w:eastAsia="et-EE"/>
        </w:rPr>
        <w:t xml:space="preserve">vajalikus mahus </w:t>
      </w:r>
      <w:r w:rsidRPr="00282611">
        <w:rPr>
          <w:szCs w:val="24"/>
          <w:lang w:eastAsia="et-EE"/>
        </w:rPr>
        <w:t xml:space="preserve">Ehitusala tehnilise valve ja katab vastavad kulud. Pakkuja vastutab Ehitusala tuleohutuse eest. </w:t>
      </w:r>
    </w:p>
    <w:p w14:paraId="1FF1ABF3" w14:textId="77777777" w:rsidR="00277C63" w:rsidRPr="00282611" w:rsidRDefault="00277C63" w:rsidP="00277C63">
      <w:pPr>
        <w:spacing w:line="276" w:lineRule="auto"/>
        <w:rPr>
          <w:szCs w:val="24"/>
          <w:lang w:eastAsia="et-EE"/>
        </w:rPr>
      </w:pPr>
    </w:p>
    <w:p w14:paraId="155E399C" w14:textId="77777777" w:rsidR="00277C63" w:rsidRPr="00282611" w:rsidRDefault="00277C63" w:rsidP="00277C63">
      <w:pPr>
        <w:spacing w:line="276" w:lineRule="auto"/>
        <w:rPr>
          <w:szCs w:val="24"/>
          <w:lang w:eastAsia="et-EE"/>
        </w:rPr>
      </w:pPr>
      <w:r w:rsidRPr="00282611">
        <w:rPr>
          <w:szCs w:val="24"/>
          <w:lang w:eastAsia="et-EE"/>
        </w:rPr>
        <w:t>Pakkuja vastutab täiel määral kõigi võimalike Tööde tegemisest tingitud kahjustuste ning riknemiste eest ning on kohustatud kandma kõik kahjustuste tagajärgede likvideerimise ning hüvitamisega seotud kulud.</w:t>
      </w:r>
    </w:p>
    <w:p w14:paraId="5AD4CF37" w14:textId="77777777" w:rsidR="00277C63" w:rsidRPr="00282611" w:rsidRDefault="00277C63" w:rsidP="00277C63">
      <w:pPr>
        <w:spacing w:line="276" w:lineRule="auto"/>
        <w:rPr>
          <w:szCs w:val="24"/>
          <w:lang w:eastAsia="et-EE"/>
        </w:rPr>
      </w:pPr>
    </w:p>
    <w:p w14:paraId="311E5E01" w14:textId="77777777" w:rsidR="00277C63" w:rsidRDefault="00277C63" w:rsidP="00277C63">
      <w:pPr>
        <w:spacing w:line="276" w:lineRule="auto"/>
        <w:rPr>
          <w:szCs w:val="24"/>
        </w:rPr>
      </w:pPr>
      <w:r w:rsidRPr="00282611">
        <w:rPr>
          <w:szCs w:val="24"/>
        </w:rPr>
        <w:t>Pakkuja kohustuseks on tagada ehituse dokumenteerimine ja tehnilise dokumentatsiooni täitmine vastavalt “Ehitamise dokumenteerimisele, ehitusdokumentide säilitamisele ja üleandmisele esitatavad nõuded ning hooldusjuhendile, selle hoidmisele ja esitamisele esitatavad nõuded ” (Majandus- ja taristuministri määrus,</w:t>
      </w:r>
      <w:r>
        <w:rPr>
          <w:szCs w:val="24"/>
        </w:rPr>
        <w:t xml:space="preserve"> Vastu võetud 04.09.2015 nr 115</w:t>
      </w:r>
      <w:r w:rsidRPr="00282611">
        <w:rPr>
          <w:szCs w:val="24"/>
        </w:rPr>
        <w:t>).</w:t>
      </w:r>
    </w:p>
    <w:p w14:paraId="5C2309FB" w14:textId="77777777" w:rsidR="00277C63" w:rsidRPr="00282611" w:rsidRDefault="00277C63" w:rsidP="00277C63">
      <w:pPr>
        <w:pStyle w:val="Pealkiri2"/>
        <w:numPr>
          <w:ilvl w:val="1"/>
          <w:numId w:val="1"/>
        </w:numPr>
        <w:spacing w:before="120" w:line="276" w:lineRule="auto"/>
        <w:rPr>
          <w:rFonts w:cs="Times New Roman"/>
          <w:szCs w:val="24"/>
        </w:rPr>
      </w:pPr>
      <w:bookmarkStart w:id="32" w:name="_Toc451868555"/>
      <w:bookmarkStart w:id="33" w:name="_Toc451878544"/>
      <w:r w:rsidRPr="00282611">
        <w:rPr>
          <w:rFonts w:cs="Times New Roman"/>
          <w:szCs w:val="24"/>
        </w:rPr>
        <w:t>Kulude hüvitamine Pakkuja poolt</w:t>
      </w:r>
      <w:bookmarkEnd w:id="32"/>
      <w:bookmarkEnd w:id="33"/>
    </w:p>
    <w:p w14:paraId="66BDFDA4" w14:textId="31DB182A" w:rsidR="00277C63" w:rsidRPr="00282611" w:rsidRDefault="00277C63" w:rsidP="008E657C">
      <w:pPr>
        <w:spacing w:line="276" w:lineRule="auto"/>
        <w:rPr>
          <w:szCs w:val="24"/>
        </w:rPr>
      </w:pPr>
      <w:r w:rsidRPr="00282611">
        <w:rPr>
          <w:szCs w:val="24"/>
        </w:rPr>
        <w:t>Pakkuja kannab ehitusaegsed kulud, s.h valve, vee, kanalisatsiooni, kütte, side ja elektrienergia tarbimise eest vastavalt kehtivatele tariifidele.</w:t>
      </w:r>
    </w:p>
    <w:p w14:paraId="21B87657" w14:textId="77777777" w:rsidR="00277C63" w:rsidRPr="00282611" w:rsidRDefault="00277C63" w:rsidP="00277C63">
      <w:pPr>
        <w:pStyle w:val="Pealkiri2"/>
        <w:numPr>
          <w:ilvl w:val="1"/>
          <w:numId w:val="1"/>
        </w:numPr>
        <w:spacing w:before="120" w:line="276" w:lineRule="auto"/>
        <w:rPr>
          <w:rFonts w:cs="Times New Roman"/>
          <w:szCs w:val="24"/>
        </w:rPr>
      </w:pPr>
      <w:bookmarkStart w:id="34" w:name="_Toc451868556"/>
      <w:bookmarkStart w:id="35" w:name="_Toc451878545"/>
      <w:r w:rsidRPr="00282611">
        <w:rPr>
          <w:rFonts w:cs="Times New Roman"/>
          <w:szCs w:val="24"/>
        </w:rPr>
        <w:lastRenderedPageBreak/>
        <w:t>Keskkonnakaitse ja ehitusplatsi ning ümbritsevate alade korrashoid</w:t>
      </w:r>
      <w:bookmarkEnd w:id="34"/>
      <w:bookmarkEnd w:id="35"/>
    </w:p>
    <w:p w14:paraId="3CA0A173" w14:textId="77777777" w:rsidR="00277C63" w:rsidRPr="00D6047A" w:rsidRDefault="00277C63" w:rsidP="00277C63">
      <w:pPr>
        <w:spacing w:line="276" w:lineRule="auto"/>
        <w:rPr>
          <w:szCs w:val="24"/>
          <w:lang w:eastAsia="et-EE"/>
        </w:rPr>
      </w:pPr>
      <w:r w:rsidRPr="00D6047A">
        <w:rPr>
          <w:szCs w:val="24"/>
          <w:lang w:eastAsia="et-EE"/>
        </w:rPr>
        <w:t>Ehitusperioodil vastutab töövõtja ka keskkonnakaitse (oma ehitustegevuse ja muu sellest tuleneva piires) eest ehitusobjektil ja selle kõrval oleval alal vastavalt Eesti Vabariigis kehtivatele seadustele ja nõuetele ning tellijapoolsetele juhistele.</w:t>
      </w:r>
    </w:p>
    <w:p w14:paraId="651E4C65" w14:textId="6A7545D9" w:rsidR="00277C63" w:rsidRPr="00282611" w:rsidRDefault="00277C63" w:rsidP="00277C63">
      <w:pPr>
        <w:spacing w:line="276" w:lineRule="auto"/>
        <w:rPr>
          <w:szCs w:val="24"/>
          <w:lang w:eastAsia="et-EE"/>
        </w:rPr>
      </w:pPr>
    </w:p>
    <w:p w14:paraId="13B5FE47" w14:textId="39D6D292" w:rsidR="00277C63" w:rsidRPr="00282611" w:rsidRDefault="00277C63" w:rsidP="00277C63">
      <w:pPr>
        <w:spacing w:line="276" w:lineRule="auto"/>
        <w:rPr>
          <w:szCs w:val="24"/>
          <w:lang w:eastAsia="et-EE"/>
        </w:rPr>
      </w:pPr>
      <w:r w:rsidRPr="00282611">
        <w:rPr>
          <w:szCs w:val="24"/>
          <w:lang w:eastAsia="et-EE"/>
        </w:rPr>
        <w:t>Pakkuja peab kasutama keskkonnasõbralikke materjale, vahendeid ja töömeetodeid ning vältima keskkonna reostamist. Kõik jäätmed tuleb käidelda ning nendest vabaneda kohasel moel, vastavalt jäätmete omadustele. Ohtlikud jäätmed tuleb koguda ja käidelda eraldi.</w:t>
      </w:r>
    </w:p>
    <w:p w14:paraId="5D6787F3" w14:textId="77777777" w:rsidR="00277C63" w:rsidRPr="00282611" w:rsidRDefault="00277C63" w:rsidP="00277C63">
      <w:pPr>
        <w:spacing w:line="276" w:lineRule="auto"/>
        <w:rPr>
          <w:szCs w:val="24"/>
          <w:lang w:eastAsia="et-EE"/>
        </w:rPr>
      </w:pPr>
    </w:p>
    <w:p w14:paraId="4A22A226" w14:textId="07E865D4" w:rsidR="00277C63" w:rsidRPr="00282611" w:rsidRDefault="00277C63" w:rsidP="00277C63">
      <w:pPr>
        <w:spacing w:line="276" w:lineRule="auto"/>
        <w:rPr>
          <w:szCs w:val="24"/>
        </w:rPr>
      </w:pPr>
      <w:r w:rsidRPr="00282611">
        <w:rPr>
          <w:szCs w:val="24"/>
        </w:rPr>
        <w:t>Pakkuja on kohustatud vältima keskkonnale kahju tekitamist. Pakkuja vastutab mistahes Tööde teostamisel Ehitusalal tekkiva keskkonnakahju eest. Pakkuja kannab keskkonnakahju tõkestamise ja tagajärgede kõrvaldamisega seotud kulud, sealhulgas (kuid mitte ainult) mistahes keskkonnakahju tekitamisega seotud avalik-õiguslikud kahjuhüvitised ja nõuded.</w:t>
      </w:r>
      <w:bookmarkStart w:id="36" w:name="_GoBack"/>
      <w:bookmarkEnd w:id="36"/>
    </w:p>
    <w:p w14:paraId="08D02EFC" w14:textId="77777777" w:rsidR="00277C63" w:rsidRDefault="00277C63" w:rsidP="00277C63">
      <w:pPr>
        <w:spacing w:line="276" w:lineRule="auto"/>
        <w:rPr>
          <w:szCs w:val="24"/>
        </w:rPr>
      </w:pPr>
    </w:p>
    <w:p w14:paraId="44AC6B77" w14:textId="77777777" w:rsidR="00277C63" w:rsidRPr="00282611" w:rsidRDefault="00277C63" w:rsidP="00277C63">
      <w:pPr>
        <w:pStyle w:val="Pealkiri1"/>
        <w:rPr>
          <w:rFonts w:eastAsia="Calibri"/>
          <w:lang w:eastAsia="et-EE"/>
        </w:rPr>
      </w:pPr>
      <w:bookmarkStart w:id="37" w:name="_Ref345048521"/>
      <w:bookmarkStart w:id="38" w:name="_Toc451868559"/>
      <w:bookmarkStart w:id="39" w:name="_Toc451878548"/>
      <w:r w:rsidRPr="00282611">
        <w:rPr>
          <w:rFonts w:eastAsia="Calibri"/>
          <w:lang w:eastAsia="et-EE"/>
        </w:rPr>
        <w:t xml:space="preserve">Nõuded </w:t>
      </w:r>
      <w:r w:rsidRPr="004C3501">
        <w:rPr>
          <w:rFonts w:eastAsia="Calibri"/>
        </w:rPr>
        <w:t>ehitusprotsessi</w:t>
      </w:r>
      <w:r w:rsidRPr="00282611">
        <w:rPr>
          <w:rFonts w:eastAsia="Calibri"/>
          <w:lang w:eastAsia="et-EE"/>
        </w:rPr>
        <w:t xml:space="preserve"> lõpetamisel</w:t>
      </w:r>
      <w:bookmarkEnd w:id="37"/>
      <w:bookmarkEnd w:id="38"/>
      <w:bookmarkEnd w:id="39"/>
    </w:p>
    <w:p w14:paraId="25A38215" w14:textId="77777777" w:rsidR="00277C63" w:rsidRPr="00282611" w:rsidRDefault="00277C63" w:rsidP="00277C63">
      <w:pPr>
        <w:pStyle w:val="Pealkiri2"/>
        <w:numPr>
          <w:ilvl w:val="1"/>
          <w:numId w:val="1"/>
        </w:numPr>
      </w:pPr>
      <w:bookmarkStart w:id="40" w:name="_Toc451868560"/>
      <w:bookmarkStart w:id="41" w:name="_Toc451878549"/>
      <w:r w:rsidRPr="004C3501">
        <w:t>Katsetused</w:t>
      </w:r>
      <w:r w:rsidRPr="00282611">
        <w:t xml:space="preserve"> ja kontrolltoimingud</w:t>
      </w:r>
      <w:bookmarkEnd w:id="40"/>
      <w:bookmarkEnd w:id="41"/>
    </w:p>
    <w:p w14:paraId="0CC22EE8" w14:textId="7B16EC86" w:rsidR="00277C63" w:rsidRPr="00282611" w:rsidRDefault="00CC0376" w:rsidP="00277C63">
      <w:pPr>
        <w:spacing w:line="276" w:lineRule="auto"/>
        <w:rPr>
          <w:szCs w:val="24"/>
          <w:lang w:eastAsia="et-EE"/>
        </w:rPr>
      </w:pPr>
      <w:r>
        <w:rPr>
          <w:szCs w:val="24"/>
          <w:lang w:eastAsia="et-EE"/>
        </w:rPr>
        <w:t xml:space="preserve">Pakkuja teostab kõik </w:t>
      </w:r>
      <w:r w:rsidR="00277C63" w:rsidRPr="00282611">
        <w:rPr>
          <w:szCs w:val="24"/>
          <w:lang w:eastAsia="et-EE"/>
        </w:rPr>
        <w:t>dokumentatsioonis nõutud ja tavapärased kontrolltoimingud.</w:t>
      </w:r>
    </w:p>
    <w:p w14:paraId="4E858206" w14:textId="77777777" w:rsidR="00277C63" w:rsidRPr="00282611" w:rsidRDefault="00277C63" w:rsidP="00277C63">
      <w:pPr>
        <w:pStyle w:val="Pealkiri2"/>
        <w:numPr>
          <w:ilvl w:val="1"/>
          <w:numId w:val="1"/>
        </w:numPr>
        <w:spacing w:before="120" w:line="276" w:lineRule="auto"/>
        <w:rPr>
          <w:rFonts w:cs="Times New Roman"/>
          <w:szCs w:val="24"/>
        </w:rPr>
      </w:pPr>
      <w:bookmarkStart w:id="42" w:name="_Toc451868561"/>
      <w:bookmarkStart w:id="43" w:name="_Toc451878550"/>
      <w:r w:rsidRPr="00282611">
        <w:rPr>
          <w:rFonts w:cs="Times New Roman"/>
          <w:szCs w:val="24"/>
        </w:rPr>
        <w:t>Objekti lõppdokumentatsioon</w:t>
      </w:r>
      <w:bookmarkEnd w:id="42"/>
      <w:bookmarkEnd w:id="43"/>
    </w:p>
    <w:p w14:paraId="2EFA87C2" w14:textId="5E06CF38" w:rsidR="00277C63" w:rsidRPr="00282611" w:rsidRDefault="00CC0376" w:rsidP="00277C63">
      <w:pPr>
        <w:spacing w:line="276" w:lineRule="auto"/>
        <w:rPr>
          <w:szCs w:val="24"/>
        </w:rPr>
      </w:pPr>
      <w:r>
        <w:rPr>
          <w:szCs w:val="24"/>
        </w:rPr>
        <w:t xml:space="preserve">Remonttööde lõpetamiseks </w:t>
      </w:r>
      <w:r w:rsidR="00277C63" w:rsidRPr="00282611">
        <w:rPr>
          <w:szCs w:val="24"/>
        </w:rPr>
        <w:t>peab Pakkuja ette valmistama ehitise ülevaatuse akti, esitama valminud tööd ülevaatuseks 1 eksemplaris CD-l/DVD-l kontrollimiseks esitama järgmised dokumendid:</w:t>
      </w:r>
    </w:p>
    <w:p w14:paraId="5C36E57B" w14:textId="59E4DB14" w:rsidR="00277C63" w:rsidRPr="00282611" w:rsidRDefault="00277C63" w:rsidP="00277C63">
      <w:pPr>
        <w:numPr>
          <w:ilvl w:val="0"/>
          <w:numId w:val="8"/>
        </w:numPr>
        <w:autoSpaceDE w:val="0"/>
        <w:autoSpaceDN w:val="0"/>
        <w:adjustRightInd w:val="0"/>
        <w:spacing w:line="276" w:lineRule="auto"/>
        <w:rPr>
          <w:szCs w:val="24"/>
          <w:lang w:eastAsia="et-EE"/>
        </w:rPr>
      </w:pPr>
      <w:r w:rsidRPr="00282611">
        <w:rPr>
          <w:szCs w:val="24"/>
          <w:lang w:eastAsia="et-EE"/>
        </w:rPr>
        <w:t>vajalike ametkondade ja protsessi osaliste poolt allkirjastatud Ehitise ülevaatuse akt;</w:t>
      </w:r>
    </w:p>
    <w:p w14:paraId="410E8EE1" w14:textId="77777777" w:rsidR="00277C63" w:rsidRPr="00282611" w:rsidRDefault="00277C63" w:rsidP="00277C63">
      <w:pPr>
        <w:numPr>
          <w:ilvl w:val="0"/>
          <w:numId w:val="8"/>
        </w:numPr>
        <w:autoSpaceDE w:val="0"/>
        <w:autoSpaceDN w:val="0"/>
        <w:adjustRightInd w:val="0"/>
        <w:spacing w:line="276" w:lineRule="auto"/>
        <w:rPr>
          <w:szCs w:val="24"/>
          <w:lang w:eastAsia="et-EE"/>
        </w:rPr>
      </w:pPr>
      <w:r w:rsidRPr="00282611">
        <w:rPr>
          <w:szCs w:val="24"/>
          <w:lang w:eastAsia="et-EE"/>
        </w:rPr>
        <w:t>Pakkuja</w:t>
      </w:r>
      <w:r w:rsidRPr="00282611">
        <w:rPr>
          <w:i/>
          <w:iCs/>
          <w:szCs w:val="24"/>
          <w:lang w:eastAsia="et-EE"/>
        </w:rPr>
        <w:t xml:space="preserve"> </w:t>
      </w:r>
      <w:r w:rsidRPr="00282611">
        <w:rPr>
          <w:szCs w:val="24"/>
          <w:lang w:eastAsia="et-EE"/>
        </w:rPr>
        <w:t>poolt koostatud projektdokumentatsioon või selle osad koos muudatustega (s.h. tööjoonised);</w:t>
      </w:r>
    </w:p>
    <w:p w14:paraId="668C167E" w14:textId="77777777" w:rsidR="00277C63" w:rsidRPr="00282611" w:rsidRDefault="00277C63" w:rsidP="00277C63">
      <w:pPr>
        <w:numPr>
          <w:ilvl w:val="0"/>
          <w:numId w:val="8"/>
        </w:numPr>
        <w:autoSpaceDE w:val="0"/>
        <w:autoSpaceDN w:val="0"/>
        <w:adjustRightInd w:val="0"/>
        <w:spacing w:line="276" w:lineRule="auto"/>
        <w:rPr>
          <w:szCs w:val="24"/>
          <w:lang w:eastAsia="et-EE"/>
        </w:rPr>
      </w:pPr>
      <w:r w:rsidRPr="00282611">
        <w:rPr>
          <w:szCs w:val="24"/>
          <w:lang w:eastAsia="et-EE"/>
        </w:rPr>
        <w:t xml:space="preserve">tehniline informatsioon </w:t>
      </w:r>
      <w:r w:rsidRPr="00282611">
        <w:rPr>
          <w:iCs/>
          <w:szCs w:val="24"/>
          <w:lang w:eastAsia="et-EE"/>
        </w:rPr>
        <w:t>Töös</w:t>
      </w:r>
      <w:r w:rsidRPr="00282611">
        <w:rPr>
          <w:i/>
          <w:iCs/>
          <w:szCs w:val="24"/>
          <w:lang w:eastAsia="et-EE"/>
        </w:rPr>
        <w:t xml:space="preserve"> </w:t>
      </w:r>
      <w:r w:rsidRPr="00282611">
        <w:rPr>
          <w:szCs w:val="24"/>
          <w:lang w:eastAsia="et-EE"/>
        </w:rPr>
        <w:t>kasutatud ehitusmaterjalide, toodete ja varustuse kohta (s.h. sertifikaadid, katsetulemused, kirjeldused, kasutusjuhendid jne);</w:t>
      </w:r>
    </w:p>
    <w:p w14:paraId="2747C7ED" w14:textId="77777777" w:rsidR="00277C63" w:rsidRPr="00282611" w:rsidRDefault="00277C63" w:rsidP="00277C63">
      <w:pPr>
        <w:numPr>
          <w:ilvl w:val="0"/>
          <w:numId w:val="8"/>
        </w:numPr>
        <w:autoSpaceDE w:val="0"/>
        <w:autoSpaceDN w:val="0"/>
        <w:adjustRightInd w:val="0"/>
        <w:spacing w:line="276" w:lineRule="auto"/>
        <w:rPr>
          <w:szCs w:val="24"/>
          <w:lang w:eastAsia="et-EE"/>
        </w:rPr>
      </w:pPr>
      <w:r w:rsidRPr="00282611">
        <w:rPr>
          <w:szCs w:val="24"/>
          <w:lang w:eastAsia="et-EE"/>
        </w:rPr>
        <w:t>ehituspäevik (isekopeeriva päeviku puhul esimene ja teine koopia);</w:t>
      </w:r>
    </w:p>
    <w:p w14:paraId="07CD9502" w14:textId="77777777" w:rsidR="00277C63" w:rsidRPr="00282611" w:rsidRDefault="00277C63" w:rsidP="00277C63">
      <w:pPr>
        <w:numPr>
          <w:ilvl w:val="0"/>
          <w:numId w:val="8"/>
        </w:numPr>
        <w:autoSpaceDE w:val="0"/>
        <w:autoSpaceDN w:val="0"/>
        <w:adjustRightInd w:val="0"/>
        <w:spacing w:line="276" w:lineRule="auto"/>
        <w:rPr>
          <w:szCs w:val="24"/>
          <w:lang w:eastAsia="et-EE"/>
        </w:rPr>
      </w:pPr>
      <w:r w:rsidRPr="00282611">
        <w:rPr>
          <w:szCs w:val="24"/>
          <w:lang w:eastAsia="et-EE"/>
        </w:rPr>
        <w:t>kaetud tööde aktid;</w:t>
      </w:r>
    </w:p>
    <w:p w14:paraId="74DA3342" w14:textId="77777777" w:rsidR="00277C63" w:rsidRPr="00282611" w:rsidRDefault="00277C63" w:rsidP="00277C63">
      <w:pPr>
        <w:numPr>
          <w:ilvl w:val="0"/>
          <w:numId w:val="8"/>
        </w:numPr>
        <w:autoSpaceDE w:val="0"/>
        <w:autoSpaceDN w:val="0"/>
        <w:adjustRightInd w:val="0"/>
        <w:spacing w:line="276" w:lineRule="auto"/>
        <w:rPr>
          <w:szCs w:val="24"/>
          <w:lang w:eastAsia="et-EE"/>
        </w:rPr>
      </w:pPr>
      <w:r w:rsidRPr="00282611">
        <w:rPr>
          <w:szCs w:val="24"/>
          <w:lang w:eastAsia="et-EE"/>
        </w:rPr>
        <w:t>teostusjoonised;</w:t>
      </w:r>
    </w:p>
    <w:p w14:paraId="4A724F4E" w14:textId="77777777" w:rsidR="00CC0376" w:rsidRDefault="00277C63" w:rsidP="00277C63">
      <w:pPr>
        <w:numPr>
          <w:ilvl w:val="0"/>
          <w:numId w:val="8"/>
        </w:numPr>
        <w:autoSpaceDE w:val="0"/>
        <w:autoSpaceDN w:val="0"/>
        <w:adjustRightInd w:val="0"/>
        <w:spacing w:line="276" w:lineRule="auto"/>
        <w:rPr>
          <w:szCs w:val="24"/>
          <w:lang w:eastAsia="et-EE"/>
        </w:rPr>
      </w:pPr>
      <w:r w:rsidRPr="00282611">
        <w:rPr>
          <w:szCs w:val="24"/>
          <w:lang w:eastAsia="et-EE"/>
        </w:rPr>
        <w:t>katsetuste ja kontrolltoimingute aktid;</w:t>
      </w:r>
    </w:p>
    <w:p w14:paraId="2444EA1E" w14:textId="289DD7F3" w:rsidR="00277C63" w:rsidRPr="00CC0376" w:rsidRDefault="00277C63" w:rsidP="00277C63">
      <w:pPr>
        <w:numPr>
          <w:ilvl w:val="0"/>
          <w:numId w:val="8"/>
        </w:numPr>
        <w:autoSpaceDE w:val="0"/>
        <w:autoSpaceDN w:val="0"/>
        <w:adjustRightInd w:val="0"/>
        <w:spacing w:line="276" w:lineRule="auto"/>
        <w:rPr>
          <w:szCs w:val="24"/>
          <w:lang w:eastAsia="et-EE"/>
        </w:rPr>
      </w:pPr>
      <w:r w:rsidRPr="00CC0376">
        <w:rPr>
          <w:szCs w:val="24"/>
          <w:lang w:eastAsia="et-EE"/>
        </w:rPr>
        <w:t>muud ehituse tehnilised dokumendid.</w:t>
      </w:r>
    </w:p>
    <w:p w14:paraId="57128C89" w14:textId="77777777" w:rsidR="006177CE" w:rsidRDefault="006177CE" w:rsidP="00155AF2">
      <w:pPr>
        <w:pStyle w:val="Default"/>
        <w:spacing w:line="276" w:lineRule="auto"/>
        <w:jc w:val="both"/>
        <w:rPr>
          <w:b/>
          <w:bCs/>
        </w:rPr>
      </w:pPr>
    </w:p>
    <w:p w14:paraId="28571700" w14:textId="77777777" w:rsidR="00155AF2" w:rsidRPr="00972081" w:rsidRDefault="00155AF2" w:rsidP="00155AF2">
      <w:pPr>
        <w:pStyle w:val="Default"/>
        <w:spacing w:line="276" w:lineRule="auto"/>
        <w:jc w:val="both"/>
      </w:pPr>
    </w:p>
    <w:p w14:paraId="74F1B5BC" w14:textId="77777777" w:rsidR="00155AF2" w:rsidRDefault="00155AF2" w:rsidP="00155AF2">
      <w:pPr>
        <w:pStyle w:val="Default"/>
        <w:spacing w:line="276" w:lineRule="auto"/>
        <w:jc w:val="both"/>
      </w:pPr>
    </w:p>
    <w:p w14:paraId="42E35B16" w14:textId="77777777" w:rsidR="00345F82" w:rsidRPr="006B18C8" w:rsidRDefault="00345F82" w:rsidP="00345F82">
      <w:pPr>
        <w:rPr>
          <w:szCs w:val="24"/>
        </w:rPr>
      </w:pPr>
    </w:p>
    <w:p w14:paraId="272A3B47" w14:textId="77777777" w:rsidR="00345F82" w:rsidRPr="00282611" w:rsidRDefault="00345F82">
      <w:pPr>
        <w:spacing w:line="276" w:lineRule="auto"/>
        <w:rPr>
          <w:szCs w:val="24"/>
        </w:rPr>
      </w:pPr>
    </w:p>
    <w:sectPr w:rsidR="00345F82" w:rsidRPr="00282611" w:rsidSect="00E963EA">
      <w:type w:val="continuous"/>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480"/>
        </w:tabs>
        <w:ind w:left="480" w:hanging="48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9B20B89E"/>
    <w:name w:val="WW8Num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6032"/>
    <w:multiLevelType w:val="hybridMultilevel"/>
    <w:tmpl w:val="00002C3B"/>
    <w:lvl w:ilvl="0" w:tplc="000015A1">
      <w:start w:val="4"/>
      <w:numFmt w:val="decimal"/>
      <w:lvlText w:val="%1."/>
      <w:lvlJc w:val="left"/>
      <w:pPr>
        <w:tabs>
          <w:tab w:val="num" w:pos="720"/>
        </w:tabs>
        <w:ind w:left="720" w:hanging="360"/>
      </w:pPr>
    </w:lvl>
    <w:lvl w:ilvl="1" w:tplc="00005422">
      <w:start w:val="1"/>
      <w:numFmt w:val="bullet"/>
      <w:lvlText w:val=" "/>
      <w:lvlJc w:val="left"/>
      <w:pPr>
        <w:tabs>
          <w:tab w:val="num" w:pos="1440"/>
        </w:tabs>
        <w:ind w:left="1440" w:hanging="360"/>
      </w:pPr>
    </w:lvl>
    <w:lvl w:ilvl="2" w:tplc="00003EF6">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24C31"/>
    <w:multiLevelType w:val="hybridMultilevel"/>
    <w:tmpl w:val="802825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7CD7676"/>
    <w:multiLevelType w:val="hybridMultilevel"/>
    <w:tmpl w:val="9D869D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8927772"/>
    <w:multiLevelType w:val="hybridMultilevel"/>
    <w:tmpl w:val="CB9E04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B376C86"/>
    <w:multiLevelType w:val="hybridMultilevel"/>
    <w:tmpl w:val="3544C8E2"/>
    <w:lvl w:ilvl="0" w:tplc="29E8EFAC">
      <w:start w:val="1"/>
      <w:numFmt w:val="decimal"/>
      <w:pStyle w:val="Pealkiri2"/>
      <w:lvlText w:val="%1.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D8971E3"/>
    <w:multiLevelType w:val="hybridMultilevel"/>
    <w:tmpl w:val="091E27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221276"/>
    <w:multiLevelType w:val="hybridMultilevel"/>
    <w:tmpl w:val="E562783A"/>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9" w15:restartNumberingAfterBreak="0">
    <w:nsid w:val="23733CA4"/>
    <w:multiLevelType w:val="multilevel"/>
    <w:tmpl w:val="44721B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400BC0"/>
    <w:multiLevelType w:val="hybridMultilevel"/>
    <w:tmpl w:val="E3140F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A472CB7"/>
    <w:multiLevelType w:val="hybridMultilevel"/>
    <w:tmpl w:val="4FFE5C9E"/>
    <w:lvl w:ilvl="0" w:tplc="1B0CDC20">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C447898"/>
    <w:multiLevelType w:val="multilevel"/>
    <w:tmpl w:val="BA421EF8"/>
    <w:lvl w:ilvl="0">
      <w:start w:val="1"/>
      <w:numFmt w:val="decimal"/>
      <w:pStyle w:val="Pealkiri1"/>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0228D3"/>
    <w:multiLevelType w:val="multilevel"/>
    <w:tmpl w:val="00000002"/>
    <w:lvl w:ilvl="0">
      <w:start w:val="1"/>
      <w:numFmt w:val="decimal"/>
      <w:lvlText w:val="%1."/>
      <w:lvlJc w:val="left"/>
      <w:pPr>
        <w:tabs>
          <w:tab w:val="num" w:pos="480"/>
        </w:tabs>
        <w:ind w:left="480" w:hanging="480"/>
      </w:pPr>
    </w:lvl>
    <w:lvl w:ilvl="1">
      <w:start w:val="1"/>
      <w:numFmt w:val="decimal"/>
      <w:lvlText w:val="2.%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3EF748F4"/>
    <w:multiLevelType w:val="hybridMultilevel"/>
    <w:tmpl w:val="FAA88C7C"/>
    <w:lvl w:ilvl="0" w:tplc="04250001">
      <w:start w:val="1"/>
      <w:numFmt w:val="bullet"/>
      <w:lvlText w:val=""/>
      <w:lvlJc w:val="left"/>
      <w:pPr>
        <w:tabs>
          <w:tab w:val="num" w:pos="1080"/>
        </w:tabs>
        <w:ind w:left="1080" w:hanging="36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25000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2C3228"/>
    <w:multiLevelType w:val="hybridMultilevel"/>
    <w:tmpl w:val="DE645BA2"/>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38B76FC"/>
    <w:multiLevelType w:val="hybridMultilevel"/>
    <w:tmpl w:val="F00826C0"/>
    <w:lvl w:ilvl="0" w:tplc="04250001">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7" w15:restartNumberingAfterBreak="0">
    <w:nsid w:val="4475786C"/>
    <w:multiLevelType w:val="hybridMultilevel"/>
    <w:tmpl w:val="A8B6DA9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8" w15:restartNumberingAfterBreak="0">
    <w:nsid w:val="49977B42"/>
    <w:multiLevelType w:val="hybridMultilevel"/>
    <w:tmpl w:val="E18C36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A793712"/>
    <w:multiLevelType w:val="hybridMultilevel"/>
    <w:tmpl w:val="E62E17A2"/>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ECE04D2"/>
    <w:multiLevelType w:val="hybridMultilevel"/>
    <w:tmpl w:val="5D4A70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FF64401"/>
    <w:multiLevelType w:val="multilevel"/>
    <w:tmpl w:val="A388153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bullet"/>
      <w:lvlText w:val="-"/>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15:restartNumberingAfterBreak="0">
    <w:nsid w:val="562A587F"/>
    <w:multiLevelType w:val="multilevel"/>
    <w:tmpl w:val="1A6C13CE"/>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696D53"/>
    <w:multiLevelType w:val="hybridMultilevel"/>
    <w:tmpl w:val="A2F6678A"/>
    <w:lvl w:ilvl="0" w:tplc="0425000F">
      <w:start w:val="1"/>
      <w:numFmt w:val="decimal"/>
      <w:lvlText w:val="%1."/>
      <w:lvlJc w:val="left"/>
      <w:pPr>
        <w:ind w:left="840" w:hanging="360"/>
      </w:pPr>
    </w:lvl>
    <w:lvl w:ilvl="1" w:tplc="04250019" w:tentative="1">
      <w:start w:val="1"/>
      <w:numFmt w:val="lowerLetter"/>
      <w:lvlText w:val="%2."/>
      <w:lvlJc w:val="left"/>
      <w:pPr>
        <w:ind w:left="1560" w:hanging="360"/>
      </w:pPr>
    </w:lvl>
    <w:lvl w:ilvl="2" w:tplc="0425001B" w:tentative="1">
      <w:start w:val="1"/>
      <w:numFmt w:val="lowerRoman"/>
      <w:lvlText w:val="%3."/>
      <w:lvlJc w:val="right"/>
      <w:pPr>
        <w:ind w:left="2280" w:hanging="180"/>
      </w:pPr>
    </w:lvl>
    <w:lvl w:ilvl="3" w:tplc="0425000F" w:tentative="1">
      <w:start w:val="1"/>
      <w:numFmt w:val="decimal"/>
      <w:lvlText w:val="%4."/>
      <w:lvlJc w:val="left"/>
      <w:pPr>
        <w:ind w:left="3000" w:hanging="360"/>
      </w:pPr>
    </w:lvl>
    <w:lvl w:ilvl="4" w:tplc="04250019" w:tentative="1">
      <w:start w:val="1"/>
      <w:numFmt w:val="lowerLetter"/>
      <w:lvlText w:val="%5."/>
      <w:lvlJc w:val="left"/>
      <w:pPr>
        <w:ind w:left="3720" w:hanging="360"/>
      </w:pPr>
    </w:lvl>
    <w:lvl w:ilvl="5" w:tplc="0425001B" w:tentative="1">
      <w:start w:val="1"/>
      <w:numFmt w:val="lowerRoman"/>
      <w:lvlText w:val="%6."/>
      <w:lvlJc w:val="right"/>
      <w:pPr>
        <w:ind w:left="4440" w:hanging="180"/>
      </w:pPr>
    </w:lvl>
    <w:lvl w:ilvl="6" w:tplc="0425000F" w:tentative="1">
      <w:start w:val="1"/>
      <w:numFmt w:val="decimal"/>
      <w:lvlText w:val="%7."/>
      <w:lvlJc w:val="left"/>
      <w:pPr>
        <w:ind w:left="5160" w:hanging="360"/>
      </w:pPr>
    </w:lvl>
    <w:lvl w:ilvl="7" w:tplc="04250019" w:tentative="1">
      <w:start w:val="1"/>
      <w:numFmt w:val="lowerLetter"/>
      <w:lvlText w:val="%8."/>
      <w:lvlJc w:val="left"/>
      <w:pPr>
        <w:ind w:left="5880" w:hanging="360"/>
      </w:pPr>
    </w:lvl>
    <w:lvl w:ilvl="8" w:tplc="0425001B" w:tentative="1">
      <w:start w:val="1"/>
      <w:numFmt w:val="lowerRoman"/>
      <w:lvlText w:val="%9."/>
      <w:lvlJc w:val="right"/>
      <w:pPr>
        <w:ind w:left="6600" w:hanging="180"/>
      </w:pPr>
    </w:lvl>
  </w:abstractNum>
  <w:abstractNum w:abstractNumId="24" w15:restartNumberingAfterBreak="0">
    <w:nsid w:val="5F77193E"/>
    <w:multiLevelType w:val="hybridMultilevel"/>
    <w:tmpl w:val="9F08851A"/>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68256C7"/>
    <w:multiLevelType w:val="hybridMultilevel"/>
    <w:tmpl w:val="CB4816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826572B"/>
    <w:multiLevelType w:val="hybridMultilevel"/>
    <w:tmpl w:val="FA98212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15:restartNumberingAfterBreak="0">
    <w:nsid w:val="6A2F4E2D"/>
    <w:multiLevelType w:val="hybridMultilevel"/>
    <w:tmpl w:val="886063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D412DC4"/>
    <w:multiLevelType w:val="hybridMultilevel"/>
    <w:tmpl w:val="96B883E4"/>
    <w:lvl w:ilvl="0" w:tplc="04250001">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9" w15:restartNumberingAfterBreak="0">
    <w:nsid w:val="6F0A1F9F"/>
    <w:multiLevelType w:val="multilevel"/>
    <w:tmpl w:val="44721B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3061D2"/>
    <w:multiLevelType w:val="hybridMultilevel"/>
    <w:tmpl w:val="DDB03E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B106A85"/>
    <w:multiLevelType w:val="hybridMultilevel"/>
    <w:tmpl w:val="3398D1CC"/>
    <w:lvl w:ilvl="0" w:tplc="1C38E290">
      <w:start w:val="1"/>
      <w:numFmt w:val="none"/>
      <w:lvlText w:val="1."/>
      <w:lvlJc w:val="left"/>
      <w:pPr>
        <w:tabs>
          <w:tab w:val="num" w:pos="1275"/>
        </w:tabs>
        <w:ind w:left="1275" w:hanging="360"/>
      </w:pPr>
    </w:lvl>
    <w:lvl w:ilvl="1" w:tplc="3A706C80">
      <w:start w:val="1"/>
      <w:numFmt w:val="bullet"/>
      <w:lvlText w:val=""/>
      <w:lvlJc w:val="left"/>
      <w:pPr>
        <w:tabs>
          <w:tab w:val="num" w:pos="1440"/>
        </w:tabs>
        <w:ind w:left="1440" w:hanging="360"/>
      </w:pPr>
      <w:rPr>
        <w:rFonts w:ascii="Wingdings" w:hAnsi="Wingdings" w:hint="default"/>
      </w:rPr>
    </w:lvl>
    <w:lvl w:ilvl="2" w:tplc="F62ED710">
      <w:start w:val="1"/>
      <w:numFmt w:val="decimal"/>
      <w:lvlText w:val="%3)"/>
      <w:lvlJc w:val="left"/>
      <w:pPr>
        <w:tabs>
          <w:tab w:val="num" w:pos="2340"/>
        </w:tabs>
        <w:ind w:left="2340" w:hanging="360"/>
      </w:pPr>
    </w:lvl>
    <w:lvl w:ilvl="3" w:tplc="2EF829C0">
      <w:start w:val="1"/>
      <w:numFmt w:val="decimal"/>
      <w:lvlText w:val="%4)"/>
      <w:lvlJc w:val="left"/>
      <w:pPr>
        <w:tabs>
          <w:tab w:val="num" w:pos="2880"/>
        </w:tabs>
        <w:ind w:left="2880" w:hanging="360"/>
      </w:pPr>
    </w:lvl>
    <w:lvl w:ilvl="4" w:tplc="31A6007C">
      <w:start w:val="1"/>
      <w:numFmt w:val="lowerLetter"/>
      <w:lvlText w:val="%5)"/>
      <w:lvlJc w:val="left"/>
      <w:pPr>
        <w:tabs>
          <w:tab w:val="num" w:pos="3600"/>
        </w:tabs>
        <w:ind w:left="3600" w:hanging="360"/>
      </w:pPr>
    </w:lvl>
    <w:lvl w:ilvl="5" w:tplc="D20E237E">
      <w:start w:val="1"/>
      <w:numFmt w:val="lowerRoman"/>
      <w:lvlText w:val="%6."/>
      <w:lvlJc w:val="right"/>
      <w:pPr>
        <w:tabs>
          <w:tab w:val="num" w:pos="4320"/>
        </w:tabs>
        <w:ind w:left="4320" w:hanging="180"/>
      </w:pPr>
    </w:lvl>
    <w:lvl w:ilvl="6" w:tplc="0FD6C750">
      <w:start w:val="1"/>
      <w:numFmt w:val="decimal"/>
      <w:lvlText w:val="%7."/>
      <w:lvlJc w:val="left"/>
      <w:pPr>
        <w:tabs>
          <w:tab w:val="num" w:pos="5040"/>
        </w:tabs>
        <w:ind w:left="5040" w:hanging="360"/>
      </w:pPr>
    </w:lvl>
    <w:lvl w:ilvl="7" w:tplc="F58C90FC">
      <w:start w:val="1"/>
      <w:numFmt w:val="lowerLetter"/>
      <w:lvlText w:val="%8."/>
      <w:lvlJc w:val="left"/>
      <w:pPr>
        <w:tabs>
          <w:tab w:val="num" w:pos="5760"/>
        </w:tabs>
        <w:ind w:left="5760" w:hanging="360"/>
      </w:pPr>
    </w:lvl>
    <w:lvl w:ilvl="8" w:tplc="A314BE78">
      <w:start w:val="1"/>
      <w:numFmt w:val="lowerRoman"/>
      <w:lvlText w:val="%9."/>
      <w:lvlJc w:val="right"/>
      <w:pPr>
        <w:tabs>
          <w:tab w:val="num" w:pos="6480"/>
        </w:tabs>
        <w:ind w:left="6480" w:hanging="180"/>
      </w:pPr>
    </w:lvl>
  </w:abstractNum>
  <w:num w:numId="1">
    <w:abstractNumId w:val="12"/>
  </w:num>
  <w:num w:numId="2">
    <w:abstractNumId w:val="2"/>
  </w:num>
  <w:num w:numId="3">
    <w:abstractNumId w:val="30"/>
  </w:num>
  <w:num w:numId="4">
    <w:abstractNumId w:val="25"/>
  </w:num>
  <w:num w:numId="5">
    <w:abstractNumId w:val="10"/>
  </w:num>
  <w:num w:numId="6">
    <w:abstractNumId w:val="0"/>
  </w:num>
  <w:num w:numId="7">
    <w:abstractNumId w:val="11"/>
  </w:num>
  <w:num w:numId="8">
    <w:abstractNumId w:val="18"/>
  </w:num>
  <w:num w:numId="9">
    <w:abstractNumId w:val="24"/>
  </w:num>
  <w:num w:numId="10">
    <w:abstractNumId w:val="17"/>
  </w:num>
  <w:num w:numId="11">
    <w:abstractNumId w:val="22"/>
  </w:num>
  <w:num w:numId="12">
    <w:abstractNumId w:val="22"/>
  </w:num>
  <w:num w:numId="13">
    <w:abstractNumId w:val="5"/>
  </w:num>
  <w:num w:numId="14">
    <w:abstractNumId w:val="7"/>
  </w:num>
  <w:num w:numId="15">
    <w:abstractNumId w:val="27"/>
  </w:num>
  <w:num w:numId="16">
    <w:abstractNumId w:val="20"/>
  </w:num>
  <w:num w:numId="17">
    <w:abstractNumId w:val="22"/>
    <w:lvlOverride w:ilvl="0">
      <w:startOverride w:val="2"/>
    </w:lvlOverride>
    <w:lvlOverride w:ilvl="1">
      <w:startOverride w:val="1"/>
    </w:lvlOverride>
  </w:num>
  <w:num w:numId="18">
    <w:abstractNumId w:val="22"/>
    <w:lvlOverride w:ilvl="0">
      <w:startOverride w:val="3"/>
    </w:lvlOverride>
    <w:lvlOverride w:ilvl="1">
      <w:startOverride w:val="1"/>
    </w:lvlOverride>
  </w:num>
  <w:num w:numId="19">
    <w:abstractNumId w:val="22"/>
    <w:lvlOverride w:ilvl="0">
      <w:startOverride w:val="4"/>
    </w:lvlOverride>
    <w:lvlOverride w:ilvl="1">
      <w:startOverride w:val="1"/>
    </w:lvlOverride>
  </w:num>
  <w:num w:numId="20">
    <w:abstractNumId w:val="23"/>
  </w:num>
  <w:num w:numId="21">
    <w:abstractNumId w:val="6"/>
  </w:num>
  <w:num w:numId="22">
    <w:abstractNumId w:val="12"/>
    <w:lvlOverride w:ilvl="0">
      <w:startOverride w:val="4"/>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19"/>
  </w:num>
  <w:num w:numId="27">
    <w:abstractNumId w:val="4"/>
  </w:num>
  <w:num w:numId="28">
    <w:abstractNumId w:val="3"/>
  </w:num>
  <w:num w:numId="29">
    <w:abstractNumId w:val="2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num>
  <w:num w:numId="33">
    <w:abstractNumId w:val="1"/>
  </w:num>
  <w:num w:numId="34">
    <w:abstractNumId w:val="13"/>
  </w:num>
  <w:num w:numId="35">
    <w:abstractNumId w:val="16"/>
  </w:num>
  <w:num w:numId="36">
    <w:abstractNumId w:val="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C"/>
    <w:rsid w:val="00021DB0"/>
    <w:rsid w:val="00045095"/>
    <w:rsid w:val="000654FA"/>
    <w:rsid w:val="00067DEF"/>
    <w:rsid w:val="00091015"/>
    <w:rsid w:val="00091413"/>
    <w:rsid w:val="000A5A59"/>
    <w:rsid w:val="000B5737"/>
    <w:rsid w:val="000F5220"/>
    <w:rsid w:val="00100E8D"/>
    <w:rsid w:val="00103600"/>
    <w:rsid w:val="0014799C"/>
    <w:rsid w:val="00155AF2"/>
    <w:rsid w:val="00157C73"/>
    <w:rsid w:val="001D28F2"/>
    <w:rsid w:val="001F7268"/>
    <w:rsid w:val="00223A9C"/>
    <w:rsid w:val="00235F1C"/>
    <w:rsid w:val="00277C63"/>
    <w:rsid w:val="00282611"/>
    <w:rsid w:val="002B5C4D"/>
    <w:rsid w:val="002B79D9"/>
    <w:rsid w:val="002C410B"/>
    <w:rsid w:val="002E37BA"/>
    <w:rsid w:val="002F1D66"/>
    <w:rsid w:val="002F5A7B"/>
    <w:rsid w:val="003032EB"/>
    <w:rsid w:val="003072C1"/>
    <w:rsid w:val="00311900"/>
    <w:rsid w:val="00315F1E"/>
    <w:rsid w:val="00331C62"/>
    <w:rsid w:val="00345F82"/>
    <w:rsid w:val="003C1862"/>
    <w:rsid w:val="003C530B"/>
    <w:rsid w:val="003D7F64"/>
    <w:rsid w:val="003E6F01"/>
    <w:rsid w:val="004030E5"/>
    <w:rsid w:val="00410048"/>
    <w:rsid w:val="00410C2B"/>
    <w:rsid w:val="00430DF8"/>
    <w:rsid w:val="00450789"/>
    <w:rsid w:val="00452773"/>
    <w:rsid w:val="00465390"/>
    <w:rsid w:val="004856B4"/>
    <w:rsid w:val="004B3CB9"/>
    <w:rsid w:val="004C3501"/>
    <w:rsid w:val="004C4EF5"/>
    <w:rsid w:val="004D6EC2"/>
    <w:rsid w:val="005047D8"/>
    <w:rsid w:val="005344E3"/>
    <w:rsid w:val="00550B57"/>
    <w:rsid w:val="00570711"/>
    <w:rsid w:val="00580870"/>
    <w:rsid w:val="005A4E72"/>
    <w:rsid w:val="005B7F23"/>
    <w:rsid w:val="005F599B"/>
    <w:rsid w:val="006177CE"/>
    <w:rsid w:val="00676F54"/>
    <w:rsid w:val="0068553E"/>
    <w:rsid w:val="0069086C"/>
    <w:rsid w:val="00690B9D"/>
    <w:rsid w:val="0069102B"/>
    <w:rsid w:val="006B44F6"/>
    <w:rsid w:val="006E02FA"/>
    <w:rsid w:val="006F7EE7"/>
    <w:rsid w:val="00715E8D"/>
    <w:rsid w:val="00751BA0"/>
    <w:rsid w:val="00763703"/>
    <w:rsid w:val="007D01F8"/>
    <w:rsid w:val="007D4BBA"/>
    <w:rsid w:val="007F15CA"/>
    <w:rsid w:val="007F2678"/>
    <w:rsid w:val="00870880"/>
    <w:rsid w:val="0088301E"/>
    <w:rsid w:val="008A7546"/>
    <w:rsid w:val="008C3E10"/>
    <w:rsid w:val="008C52A4"/>
    <w:rsid w:val="008E657C"/>
    <w:rsid w:val="00964E48"/>
    <w:rsid w:val="0098183E"/>
    <w:rsid w:val="00984F3D"/>
    <w:rsid w:val="009949ED"/>
    <w:rsid w:val="009B4A63"/>
    <w:rsid w:val="009C17A8"/>
    <w:rsid w:val="009C1BF3"/>
    <w:rsid w:val="009C48AA"/>
    <w:rsid w:val="009D3DEA"/>
    <w:rsid w:val="009E5EF7"/>
    <w:rsid w:val="009F1FCC"/>
    <w:rsid w:val="00A047F1"/>
    <w:rsid w:val="00A04F05"/>
    <w:rsid w:val="00A21C04"/>
    <w:rsid w:val="00A3175A"/>
    <w:rsid w:val="00A7615A"/>
    <w:rsid w:val="00AA7372"/>
    <w:rsid w:val="00AB4B35"/>
    <w:rsid w:val="00AB7946"/>
    <w:rsid w:val="00AD5DE8"/>
    <w:rsid w:val="00AE65A3"/>
    <w:rsid w:val="00AF2EEA"/>
    <w:rsid w:val="00AF5B01"/>
    <w:rsid w:val="00B13D45"/>
    <w:rsid w:val="00B15A72"/>
    <w:rsid w:val="00B27C0A"/>
    <w:rsid w:val="00B316EA"/>
    <w:rsid w:val="00B738C8"/>
    <w:rsid w:val="00B772EA"/>
    <w:rsid w:val="00B80C82"/>
    <w:rsid w:val="00BD7C0B"/>
    <w:rsid w:val="00BF5075"/>
    <w:rsid w:val="00C02DCD"/>
    <w:rsid w:val="00C26771"/>
    <w:rsid w:val="00C6778C"/>
    <w:rsid w:val="00C86D84"/>
    <w:rsid w:val="00CA4132"/>
    <w:rsid w:val="00CC0376"/>
    <w:rsid w:val="00CC3F69"/>
    <w:rsid w:val="00D6047A"/>
    <w:rsid w:val="00D610CA"/>
    <w:rsid w:val="00D66AB0"/>
    <w:rsid w:val="00D66D1A"/>
    <w:rsid w:val="00D75E93"/>
    <w:rsid w:val="00DA5C17"/>
    <w:rsid w:val="00DB0929"/>
    <w:rsid w:val="00DC3711"/>
    <w:rsid w:val="00DD3677"/>
    <w:rsid w:val="00DD6FFE"/>
    <w:rsid w:val="00E215B0"/>
    <w:rsid w:val="00E2791F"/>
    <w:rsid w:val="00E37453"/>
    <w:rsid w:val="00E641B0"/>
    <w:rsid w:val="00E910AE"/>
    <w:rsid w:val="00E963EA"/>
    <w:rsid w:val="00F0541A"/>
    <w:rsid w:val="00F13734"/>
    <w:rsid w:val="00F61E84"/>
    <w:rsid w:val="00F72BFF"/>
    <w:rsid w:val="00F74CAA"/>
    <w:rsid w:val="00F76726"/>
    <w:rsid w:val="00F840A9"/>
    <w:rsid w:val="00F87A56"/>
    <w:rsid w:val="00FA5346"/>
    <w:rsid w:val="00FC66B1"/>
    <w:rsid w:val="00FE36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8622"/>
  <w15:docId w15:val="{48C7494A-58AF-4D2D-A6E7-6AA31623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4799C"/>
    <w:pPr>
      <w:spacing w:after="0" w:line="288" w:lineRule="auto"/>
      <w:jc w:val="both"/>
    </w:pPr>
    <w:rPr>
      <w:rFonts w:ascii="Times New Roman" w:eastAsia="Times New Roman" w:hAnsi="Times New Roman" w:cs="Times New Roman"/>
      <w:color w:val="000000"/>
      <w:sz w:val="24"/>
      <w:szCs w:val="20"/>
    </w:rPr>
  </w:style>
  <w:style w:type="paragraph" w:styleId="Pealkiri1">
    <w:name w:val="heading 1"/>
    <w:basedOn w:val="Normaallaad"/>
    <w:next w:val="Normaallaad"/>
    <w:link w:val="Pealkiri1Mrk"/>
    <w:qFormat/>
    <w:rsid w:val="0014799C"/>
    <w:pPr>
      <w:keepNext/>
      <w:numPr>
        <w:numId w:val="1"/>
      </w:numPr>
      <w:spacing w:before="120" w:after="120"/>
      <w:ind w:left="714" w:hanging="357"/>
      <w:outlineLvl w:val="0"/>
    </w:pPr>
    <w:rPr>
      <w:rFonts w:cs="Arial"/>
      <w:b/>
      <w:bCs/>
      <w:kern w:val="32"/>
      <w:szCs w:val="32"/>
    </w:rPr>
  </w:style>
  <w:style w:type="paragraph" w:styleId="Pealkiri2">
    <w:name w:val="heading 2"/>
    <w:basedOn w:val="Normaallaad"/>
    <w:next w:val="Normaallaad"/>
    <w:link w:val="Pealkiri2Mrk"/>
    <w:uiPriority w:val="9"/>
    <w:unhideWhenUsed/>
    <w:qFormat/>
    <w:rsid w:val="00F0541A"/>
    <w:pPr>
      <w:keepNext/>
      <w:keepLines/>
      <w:numPr>
        <w:numId w:val="21"/>
      </w:numPr>
      <w:spacing w:before="40"/>
      <w:outlineLvl w:val="1"/>
    </w:pPr>
    <w:rPr>
      <w:rFonts w:eastAsiaTheme="majorEastAsia" w:cstheme="majorBidi"/>
      <w:b/>
      <w:color w:val="auto"/>
      <w:szCs w:val="26"/>
    </w:rPr>
  </w:style>
  <w:style w:type="paragraph" w:styleId="Pealkiri3">
    <w:name w:val="heading 3"/>
    <w:basedOn w:val="Normaallaad"/>
    <w:next w:val="Normaallaad"/>
    <w:link w:val="Pealkiri3Mrk"/>
    <w:uiPriority w:val="9"/>
    <w:semiHidden/>
    <w:unhideWhenUsed/>
    <w:qFormat/>
    <w:rsid w:val="00964E48"/>
    <w:pPr>
      <w:keepNext/>
      <w:keepLines/>
      <w:spacing w:before="200"/>
      <w:outlineLvl w:val="2"/>
    </w:pPr>
    <w:rPr>
      <w:rFonts w:asciiTheme="majorHAnsi" w:eastAsiaTheme="majorEastAsia" w:hAnsiTheme="majorHAnsi" w:cstheme="majorBidi"/>
      <w:b/>
      <w:bCs/>
      <w:color w:val="5B9BD5"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14799C"/>
    <w:rPr>
      <w:rFonts w:ascii="Times New Roman" w:eastAsia="Times New Roman" w:hAnsi="Times New Roman" w:cs="Arial"/>
      <w:b/>
      <w:bCs/>
      <w:color w:val="000000"/>
      <w:kern w:val="32"/>
      <w:sz w:val="24"/>
      <w:szCs w:val="32"/>
    </w:rPr>
  </w:style>
  <w:style w:type="character" w:styleId="Hperlink">
    <w:name w:val="Hyperlink"/>
    <w:basedOn w:val="Liguvaikefont"/>
    <w:uiPriority w:val="99"/>
    <w:unhideWhenUsed/>
    <w:rsid w:val="00763703"/>
    <w:rPr>
      <w:color w:val="0563C1" w:themeColor="hyperlink"/>
      <w:u w:val="single"/>
    </w:rPr>
  </w:style>
  <w:style w:type="table" w:styleId="Kontuurtabel">
    <w:name w:val="Table Grid"/>
    <w:basedOn w:val="Normaaltabel"/>
    <w:uiPriority w:val="39"/>
    <w:rsid w:val="0057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4C4EF5"/>
    <w:pPr>
      <w:suppressAutoHyphens/>
      <w:spacing w:line="240" w:lineRule="auto"/>
    </w:pPr>
    <w:rPr>
      <w:rFonts w:ascii="Arial" w:hAnsi="Arial" w:cs="Arial"/>
      <w:color w:val="auto"/>
      <w:lang w:eastAsia="ar-SA"/>
    </w:rPr>
  </w:style>
  <w:style w:type="character" w:customStyle="1" w:styleId="KehatekstMrk">
    <w:name w:val="Kehatekst Märk"/>
    <w:basedOn w:val="Liguvaikefont"/>
    <w:link w:val="Kehatekst"/>
    <w:rsid w:val="004C4EF5"/>
    <w:rPr>
      <w:rFonts w:ascii="Arial" w:eastAsia="Times New Roman" w:hAnsi="Arial" w:cs="Arial"/>
      <w:sz w:val="24"/>
      <w:szCs w:val="20"/>
      <w:lang w:eastAsia="ar-SA"/>
    </w:rPr>
  </w:style>
  <w:style w:type="paragraph" w:styleId="Pis">
    <w:name w:val="header"/>
    <w:basedOn w:val="Normaallaad"/>
    <w:link w:val="PisMrk"/>
    <w:rsid w:val="009C48AA"/>
    <w:pPr>
      <w:tabs>
        <w:tab w:val="center" w:pos="4153"/>
        <w:tab w:val="right" w:pos="8306"/>
      </w:tabs>
      <w:suppressAutoHyphens/>
      <w:spacing w:line="240" w:lineRule="auto"/>
      <w:jc w:val="left"/>
    </w:pPr>
    <w:rPr>
      <w:rFonts w:ascii="Arial" w:hAnsi="Arial"/>
      <w:color w:val="auto"/>
      <w:lang w:eastAsia="ar-SA"/>
    </w:rPr>
  </w:style>
  <w:style w:type="character" w:customStyle="1" w:styleId="PisMrk">
    <w:name w:val="Päis Märk"/>
    <w:basedOn w:val="Liguvaikefont"/>
    <w:link w:val="Pis"/>
    <w:rsid w:val="009C48AA"/>
    <w:rPr>
      <w:rFonts w:ascii="Arial" w:eastAsia="Times New Roman" w:hAnsi="Arial" w:cs="Times New Roman"/>
      <w:sz w:val="24"/>
      <w:szCs w:val="20"/>
      <w:lang w:eastAsia="ar-SA"/>
    </w:rPr>
  </w:style>
  <w:style w:type="paragraph" w:styleId="Loendilik">
    <w:name w:val="List Paragraph"/>
    <w:basedOn w:val="Normaallaad"/>
    <w:qFormat/>
    <w:rsid w:val="001D28F2"/>
    <w:pPr>
      <w:ind w:left="720"/>
      <w:contextualSpacing/>
    </w:pPr>
  </w:style>
  <w:style w:type="character" w:customStyle="1" w:styleId="Pealkiri2Mrk">
    <w:name w:val="Pealkiri 2 Märk"/>
    <w:basedOn w:val="Liguvaikefont"/>
    <w:link w:val="Pealkiri2"/>
    <w:uiPriority w:val="9"/>
    <w:rsid w:val="00F0541A"/>
    <w:rPr>
      <w:rFonts w:ascii="Times New Roman" w:eastAsiaTheme="majorEastAsia" w:hAnsi="Times New Roman" w:cstheme="majorBidi"/>
      <w:b/>
      <w:sz w:val="24"/>
      <w:szCs w:val="26"/>
    </w:rPr>
  </w:style>
  <w:style w:type="character" w:customStyle="1" w:styleId="Pealkiri3Mrk">
    <w:name w:val="Pealkiri 3 Märk"/>
    <w:basedOn w:val="Liguvaikefont"/>
    <w:link w:val="Pealkiri3"/>
    <w:uiPriority w:val="9"/>
    <w:semiHidden/>
    <w:rsid w:val="00964E48"/>
    <w:rPr>
      <w:rFonts w:asciiTheme="majorHAnsi" w:eastAsiaTheme="majorEastAsia" w:hAnsiTheme="majorHAnsi" w:cstheme="majorBidi"/>
      <w:b/>
      <w:bCs/>
      <w:color w:val="5B9BD5" w:themeColor="accent1"/>
      <w:sz w:val="24"/>
      <w:szCs w:val="20"/>
    </w:rPr>
  </w:style>
  <w:style w:type="character" w:styleId="Tugev">
    <w:name w:val="Strong"/>
    <w:basedOn w:val="Liguvaikefont"/>
    <w:uiPriority w:val="22"/>
    <w:qFormat/>
    <w:rsid w:val="00964E48"/>
    <w:rPr>
      <w:b/>
      <w:bCs/>
    </w:rPr>
  </w:style>
  <w:style w:type="paragraph" w:styleId="Jalus">
    <w:name w:val="footer"/>
    <w:basedOn w:val="Normaallaad"/>
    <w:link w:val="JalusMrk"/>
    <w:uiPriority w:val="99"/>
    <w:unhideWhenUsed/>
    <w:rsid w:val="00465390"/>
    <w:pPr>
      <w:tabs>
        <w:tab w:val="center" w:pos="4320"/>
        <w:tab w:val="right" w:pos="8640"/>
      </w:tabs>
      <w:spacing w:line="240" w:lineRule="auto"/>
      <w:jc w:val="left"/>
    </w:pPr>
    <w:rPr>
      <w:color w:val="auto"/>
      <w:lang w:val="fr-FR"/>
    </w:rPr>
  </w:style>
  <w:style w:type="character" w:customStyle="1" w:styleId="JalusMrk">
    <w:name w:val="Jalus Märk"/>
    <w:basedOn w:val="Liguvaikefont"/>
    <w:link w:val="Jalus"/>
    <w:uiPriority w:val="99"/>
    <w:rsid w:val="00465390"/>
    <w:rPr>
      <w:rFonts w:ascii="Times New Roman" w:eastAsia="Times New Roman" w:hAnsi="Times New Roman" w:cs="Times New Roman"/>
      <w:sz w:val="24"/>
      <w:szCs w:val="20"/>
      <w:lang w:val="fr-FR"/>
    </w:rPr>
  </w:style>
  <w:style w:type="paragraph" w:customStyle="1" w:styleId="Default">
    <w:name w:val="Default"/>
    <w:rsid w:val="00AE65A3"/>
    <w:pPr>
      <w:autoSpaceDE w:val="0"/>
      <w:autoSpaceDN w:val="0"/>
      <w:adjustRightInd w:val="0"/>
      <w:spacing w:after="0" w:line="240" w:lineRule="auto"/>
    </w:pPr>
    <w:rPr>
      <w:rFonts w:ascii="Times New Roman" w:hAnsi="Times New Roman" w:cs="Times New Roman"/>
      <w:color w:val="000000"/>
      <w:sz w:val="24"/>
      <w:szCs w:val="24"/>
    </w:rPr>
  </w:style>
  <w:style w:type="paragraph" w:styleId="Lihttekst">
    <w:name w:val="Plain Text"/>
    <w:basedOn w:val="Normaallaad"/>
    <w:link w:val="LihttekstMrk"/>
    <w:uiPriority w:val="99"/>
    <w:semiHidden/>
    <w:unhideWhenUsed/>
    <w:rsid w:val="00345F82"/>
    <w:pPr>
      <w:spacing w:line="240" w:lineRule="auto"/>
      <w:jc w:val="left"/>
    </w:pPr>
    <w:rPr>
      <w:rFonts w:ascii="Calibri" w:eastAsiaTheme="minorHAnsi" w:hAnsi="Calibri" w:cstheme="minorBidi"/>
      <w:color w:val="auto"/>
      <w:sz w:val="22"/>
      <w:szCs w:val="21"/>
    </w:rPr>
  </w:style>
  <w:style w:type="character" w:customStyle="1" w:styleId="LihttekstMrk">
    <w:name w:val="Lihttekst Märk"/>
    <w:basedOn w:val="Liguvaikefont"/>
    <w:link w:val="Lihttekst"/>
    <w:uiPriority w:val="99"/>
    <w:semiHidden/>
    <w:rsid w:val="00345F82"/>
    <w:rPr>
      <w:rFonts w:ascii="Calibri" w:hAnsi="Calibri"/>
      <w:szCs w:val="21"/>
    </w:rPr>
  </w:style>
  <w:style w:type="paragraph" w:styleId="Kommentaaritekst">
    <w:name w:val="annotation text"/>
    <w:basedOn w:val="Normaallaad"/>
    <w:link w:val="KommentaaritekstMrk"/>
    <w:semiHidden/>
    <w:unhideWhenUsed/>
    <w:rsid w:val="00410048"/>
    <w:pPr>
      <w:suppressAutoHyphens/>
      <w:spacing w:line="240" w:lineRule="auto"/>
      <w:jc w:val="left"/>
    </w:pPr>
    <w:rPr>
      <w:rFonts w:ascii="Arial" w:hAnsi="Arial"/>
      <w:color w:val="auto"/>
      <w:lang w:eastAsia="ar-SA"/>
    </w:rPr>
  </w:style>
  <w:style w:type="character" w:customStyle="1" w:styleId="KommentaaritekstMrk">
    <w:name w:val="Kommentaari tekst Märk"/>
    <w:basedOn w:val="Liguvaikefont"/>
    <w:link w:val="Kommentaaritekst"/>
    <w:semiHidden/>
    <w:rsid w:val="00410048"/>
    <w:rPr>
      <w:rFonts w:ascii="Arial" w:eastAsia="Times New Roman" w:hAnsi="Arial" w:cs="Times New Roman"/>
      <w:sz w:val="24"/>
      <w:szCs w:val="20"/>
      <w:lang w:eastAsia="ar-SA"/>
    </w:rPr>
  </w:style>
  <w:style w:type="character" w:styleId="Kommentaariviide">
    <w:name w:val="annotation reference"/>
    <w:uiPriority w:val="99"/>
    <w:semiHidden/>
    <w:unhideWhenUsed/>
    <w:rsid w:val="00410048"/>
    <w:rPr>
      <w:sz w:val="16"/>
      <w:szCs w:val="16"/>
    </w:rPr>
  </w:style>
  <w:style w:type="paragraph" w:styleId="Jutumullitekst">
    <w:name w:val="Balloon Text"/>
    <w:basedOn w:val="Normaallaad"/>
    <w:link w:val="JutumullitekstMrk"/>
    <w:uiPriority w:val="99"/>
    <w:semiHidden/>
    <w:unhideWhenUsed/>
    <w:rsid w:val="00410048"/>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10048"/>
    <w:rPr>
      <w:rFonts w:ascii="Segoe UI" w:eastAsia="Times New Roman" w:hAnsi="Segoe UI" w:cs="Segoe UI"/>
      <w:color w:val="000000"/>
      <w:sz w:val="18"/>
      <w:szCs w:val="18"/>
    </w:rPr>
  </w:style>
  <w:style w:type="character" w:customStyle="1" w:styleId="WW8Num8z0">
    <w:name w:val="WW8Num8z0"/>
    <w:rsid w:val="00550B57"/>
    <w:rPr>
      <w:rFonts w:ascii="Symbol" w:hAnsi="Symbo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57608">
      <w:bodyDiv w:val="1"/>
      <w:marLeft w:val="0"/>
      <w:marRight w:val="0"/>
      <w:marTop w:val="0"/>
      <w:marBottom w:val="0"/>
      <w:divBdr>
        <w:top w:val="none" w:sz="0" w:space="0" w:color="auto"/>
        <w:left w:val="none" w:sz="0" w:space="0" w:color="auto"/>
        <w:bottom w:val="none" w:sz="0" w:space="0" w:color="auto"/>
        <w:right w:val="none" w:sz="0" w:space="0" w:color="auto"/>
      </w:divBdr>
    </w:div>
    <w:div w:id="12572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ide.kovt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s.ee/" TargetMode="External"/><Relationship Id="rId5" Type="http://schemas.openxmlformats.org/officeDocument/2006/relationships/hyperlink" Target="https://www.riigiteataja.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1254</Words>
  <Characters>7278</Characters>
  <Application>Microsoft Office Word</Application>
  <DocSecurity>0</DocSecurity>
  <Lines>60</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reino</cp:lastModifiedBy>
  <cp:revision>5</cp:revision>
  <dcterms:created xsi:type="dcterms:W3CDTF">2017-01-27T10:59:00Z</dcterms:created>
  <dcterms:modified xsi:type="dcterms:W3CDTF">2017-06-19T17:44:00Z</dcterms:modified>
</cp:coreProperties>
</file>