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0136407D" w:rsidR="000A617F" w:rsidRPr="0036239D" w:rsidRDefault="009A09AD" w:rsidP="00113D3E">
      <w:bookmarkStart w:id="0" w:name="_Hlk99015084"/>
      <w:bookmarkStart w:id="1" w:name="OLE_LINK5"/>
      <w:bookmarkStart w:id="2" w:name="OLE_LINK2"/>
      <w:r w:rsidRPr="0036239D">
        <w:t xml:space="preserve">Alla lihthanke piirmäära jääva hanke </w:t>
      </w:r>
      <w:r w:rsidR="000A617F" w:rsidRPr="0036239D">
        <w:t>„</w:t>
      </w:r>
      <w:r w:rsidR="00655926" w:rsidRPr="0036239D">
        <w:t xml:space="preserve">Paide </w:t>
      </w:r>
      <w:r w:rsidR="00F852F4" w:rsidRPr="0036239D">
        <w:t>linna Staadioni tn tänavavalgustuse ehitamine</w:t>
      </w:r>
      <w:r w:rsidR="001F1D0B" w:rsidRPr="0036239D">
        <w:t xml:space="preserve">“ </w:t>
      </w:r>
      <w:r w:rsidR="000A617F" w:rsidRPr="0036239D">
        <w:t>hankedokument.</w:t>
      </w:r>
    </w:p>
    <w:p w14:paraId="42A2002E" w14:textId="2942067A" w:rsidR="007D2C52" w:rsidRPr="0036239D" w:rsidRDefault="007D2C52" w:rsidP="00113D3E"/>
    <w:bookmarkEnd w:id="0"/>
    <w:p w14:paraId="7462D660" w14:textId="77777777" w:rsidR="009B347D" w:rsidRPr="0036239D" w:rsidRDefault="009B347D" w:rsidP="00113D3E"/>
    <w:bookmarkEnd w:id="1"/>
    <w:bookmarkEnd w:id="2"/>
    <w:p w14:paraId="64F9C3EB" w14:textId="6A8EDCFF" w:rsidR="000A617F" w:rsidRPr="0036239D" w:rsidRDefault="00655926" w:rsidP="00113D3E">
      <w:r w:rsidRPr="0036239D">
        <w:t>Paide Linnavalitsus</w:t>
      </w:r>
      <w:r w:rsidR="000A617F" w:rsidRPr="0036239D">
        <w:t xml:space="preserve"> (asukoht </w:t>
      </w:r>
      <w:r w:rsidRPr="0036239D">
        <w:t>Järva maakond, Paide linn, Paide linn, Keskväljak 14, 72711</w:t>
      </w:r>
      <w:r w:rsidR="005D22AE" w:rsidRPr="0036239D">
        <w:t xml:space="preserve"> </w:t>
      </w:r>
      <w:r w:rsidR="000A617F" w:rsidRPr="0036239D">
        <w:t xml:space="preserve">Järva maakond, registrikood </w:t>
      </w:r>
      <w:r w:rsidRPr="0036239D">
        <w:t>77000246</w:t>
      </w:r>
      <w:r w:rsidR="000A617F" w:rsidRPr="0036239D">
        <w:t>, tel 38</w:t>
      </w:r>
      <w:r w:rsidR="00F24012" w:rsidRPr="0036239D">
        <w:t>38600</w:t>
      </w:r>
      <w:r w:rsidR="000A617F" w:rsidRPr="0036239D">
        <w:t>) teeb pädevatele pakkujatele ettepaneku esitada pakkumus  vastavalt hankedokumentides sisalduvatele tingimustele.</w:t>
      </w:r>
    </w:p>
    <w:p w14:paraId="0A37501D" w14:textId="77777777" w:rsidR="000A617F" w:rsidRPr="0036239D" w:rsidRDefault="000A617F" w:rsidP="00113D3E"/>
    <w:p w14:paraId="5DAB6C7B" w14:textId="2743FC7A" w:rsidR="007F52F1" w:rsidRPr="0036239D" w:rsidRDefault="000A617F" w:rsidP="001F1D0B">
      <w:pPr>
        <w:numPr>
          <w:ilvl w:val="0"/>
          <w:numId w:val="10"/>
        </w:numPr>
        <w:rPr>
          <w:rFonts w:eastAsia="Lucida Sans Unicode"/>
        </w:rPr>
      </w:pPr>
      <w:r w:rsidRPr="0036239D">
        <w:rPr>
          <w:rFonts w:eastAsia="Lucida Sans Unicode"/>
        </w:rPr>
        <w:t xml:space="preserve">Riigihanke nimetus: </w:t>
      </w:r>
      <w:r w:rsidRPr="0036239D">
        <w:t>„</w:t>
      </w:r>
      <w:r w:rsidR="00F852F4" w:rsidRPr="0036239D">
        <w:t>Paide linna staadioni tn tänavavalgustuse ehitamine</w:t>
      </w:r>
      <w:r w:rsidRPr="0036239D">
        <w:t>“.</w:t>
      </w:r>
    </w:p>
    <w:p w14:paraId="420368AE" w14:textId="77777777" w:rsidR="007F52F1" w:rsidRPr="0036239D" w:rsidRDefault="00813547" w:rsidP="00113D3E">
      <w:pPr>
        <w:numPr>
          <w:ilvl w:val="0"/>
          <w:numId w:val="10"/>
        </w:numPr>
        <w:rPr>
          <w:rFonts w:eastAsia="Lucida Sans Unicode"/>
        </w:rPr>
      </w:pPr>
      <w:r w:rsidRPr="0036239D">
        <w:t xml:space="preserve">Hankija </w:t>
      </w:r>
      <w:r w:rsidR="00685502" w:rsidRPr="0036239D">
        <w:t xml:space="preserve">(tellija) </w:t>
      </w:r>
      <w:r w:rsidRPr="0036239D">
        <w:t>andmed:</w:t>
      </w:r>
    </w:p>
    <w:p w14:paraId="19B92824" w14:textId="77777777" w:rsidR="007F52F1" w:rsidRPr="0036239D" w:rsidRDefault="00461104" w:rsidP="00113D3E">
      <w:pPr>
        <w:numPr>
          <w:ilvl w:val="1"/>
          <w:numId w:val="10"/>
        </w:numPr>
        <w:rPr>
          <w:rFonts w:eastAsia="Lucida Sans Unicode"/>
        </w:rPr>
      </w:pPr>
      <w:r w:rsidRPr="0036239D">
        <w:t>P</w:t>
      </w:r>
      <w:r w:rsidR="00813547" w:rsidRPr="0036239D">
        <w:t>aide linnavalitsus, Keskväljak 14, Paide</w:t>
      </w:r>
      <w:r w:rsidR="007A52E7" w:rsidRPr="0036239D">
        <w:t>.</w:t>
      </w:r>
    </w:p>
    <w:p w14:paraId="5BB4D835" w14:textId="1AA7F16D" w:rsidR="007F52F1" w:rsidRPr="0036239D" w:rsidRDefault="00813547" w:rsidP="000E60EF">
      <w:pPr>
        <w:numPr>
          <w:ilvl w:val="1"/>
          <w:numId w:val="10"/>
        </w:numPr>
      </w:pPr>
      <w:r w:rsidRPr="0036239D">
        <w:t xml:space="preserve">Kontaktisik: </w:t>
      </w:r>
      <w:r w:rsidR="001F1D0B" w:rsidRPr="0036239D">
        <w:t>Enn Mäger</w:t>
      </w:r>
      <w:r w:rsidRPr="0036239D">
        <w:t xml:space="preserve">, </w:t>
      </w:r>
      <w:r w:rsidR="001F1D0B" w:rsidRPr="0036239D">
        <w:t xml:space="preserve">Paide Linnavalitsus, </w:t>
      </w:r>
      <w:r w:rsidR="00F852F4" w:rsidRPr="0036239D">
        <w:t>e</w:t>
      </w:r>
      <w:r w:rsidR="001F1D0B" w:rsidRPr="0036239D">
        <w:t>hituse peaspetsialist</w:t>
      </w:r>
      <w:r w:rsidR="00587BE8" w:rsidRPr="0036239D">
        <w:t>, tel</w:t>
      </w:r>
      <w:r w:rsidRPr="0036239D">
        <w:t xml:space="preserve">: </w:t>
      </w:r>
      <w:r w:rsidR="001F1D0B" w:rsidRPr="0036239D">
        <w:t>5077131</w:t>
      </w:r>
      <w:r w:rsidRPr="0036239D">
        <w:t xml:space="preserve">, </w:t>
      </w:r>
      <w:hyperlink r:id="rId11" w:history="1">
        <w:r w:rsidR="001F1D0B" w:rsidRPr="0036239D">
          <w:rPr>
            <w:rStyle w:val="Hyperlink"/>
            <w:color w:val="auto"/>
          </w:rPr>
          <w:t>enn.mager@paide.ee</w:t>
        </w:r>
      </w:hyperlink>
      <w:r w:rsidR="007A52E7" w:rsidRPr="0036239D">
        <w:t xml:space="preserve"> .</w:t>
      </w:r>
    </w:p>
    <w:p w14:paraId="4D1C3E33" w14:textId="1C8B16B8" w:rsidR="007F52F1" w:rsidRPr="0036239D" w:rsidRDefault="00813547" w:rsidP="00113D3E">
      <w:pPr>
        <w:numPr>
          <w:ilvl w:val="1"/>
          <w:numId w:val="10"/>
        </w:numPr>
      </w:pPr>
      <w:r w:rsidRPr="0036239D">
        <w:t xml:space="preserve">Küsimuste korral saata küsimus </w:t>
      </w:r>
      <w:r w:rsidR="00587BE8" w:rsidRPr="0036239D">
        <w:t>e-postiga</w:t>
      </w:r>
      <w:r w:rsidR="00397B29" w:rsidRPr="0036239D">
        <w:t xml:space="preserve">. </w:t>
      </w:r>
      <w:r w:rsidR="007A52E7" w:rsidRPr="0036239D">
        <w:t>E-posti küsimusele antakse siduv vastus, suuliselt saadud vastus ei pruugi olla siduv.</w:t>
      </w:r>
    </w:p>
    <w:p w14:paraId="02EB378F" w14:textId="77777777" w:rsidR="007F52F1" w:rsidRPr="0036239D" w:rsidRDefault="007F52F1" w:rsidP="007F52F1"/>
    <w:p w14:paraId="2629B88E" w14:textId="185270EA" w:rsidR="009179E8" w:rsidRPr="0036239D" w:rsidRDefault="000A617F" w:rsidP="009179E8">
      <w:pPr>
        <w:numPr>
          <w:ilvl w:val="0"/>
          <w:numId w:val="10"/>
        </w:numPr>
      </w:pPr>
      <w:r w:rsidRPr="0036239D">
        <w:t xml:space="preserve">Hanke </w:t>
      </w:r>
      <w:r w:rsidR="007F52F1" w:rsidRPr="0036239D">
        <w:t>eesmärk</w:t>
      </w:r>
      <w:r w:rsidR="00AB7883" w:rsidRPr="0036239D">
        <w:t>:</w:t>
      </w:r>
      <w:r w:rsidRPr="0036239D">
        <w:t xml:space="preserve"> </w:t>
      </w:r>
      <w:r w:rsidR="00AB7883" w:rsidRPr="0036239D">
        <w:t xml:space="preserve">Paide </w:t>
      </w:r>
      <w:r w:rsidR="00C93895" w:rsidRPr="0036239D">
        <w:t xml:space="preserve">linna </w:t>
      </w:r>
      <w:r w:rsidR="00BB0FAD" w:rsidRPr="0036239D">
        <w:t>Staadioni tänavale tänavavalgustuse rajamine analoogselt olemasoleva jalgpalli esise valgustusega.</w:t>
      </w:r>
    </w:p>
    <w:p w14:paraId="63F68DDC" w14:textId="1B986E0A" w:rsidR="00F36D14" w:rsidRPr="0036239D" w:rsidRDefault="009179E8" w:rsidP="00F36D14">
      <w:r w:rsidRPr="0036239D">
        <w:t xml:space="preserve"> </w:t>
      </w:r>
    </w:p>
    <w:p w14:paraId="38BDDF81" w14:textId="61FDE2E6" w:rsidR="007F52F1" w:rsidRPr="0036239D" w:rsidRDefault="000A617F" w:rsidP="007F52F1">
      <w:pPr>
        <w:numPr>
          <w:ilvl w:val="0"/>
          <w:numId w:val="10"/>
        </w:numPr>
      </w:pPr>
      <w:r w:rsidRPr="0036239D">
        <w:t>Hankelepingu eseme tehniline kirjeldus.</w:t>
      </w:r>
    </w:p>
    <w:p w14:paraId="5E9DE4A4" w14:textId="77777777" w:rsidR="00CB13C7" w:rsidRPr="0036239D" w:rsidRDefault="0085651B" w:rsidP="00DC63A0">
      <w:pPr>
        <w:numPr>
          <w:ilvl w:val="1"/>
          <w:numId w:val="10"/>
        </w:numPr>
      </w:pPr>
      <w:r w:rsidRPr="0036239D">
        <w:t>Võimalike vastuolude puhul erinevates hankedokumentides ja ne</w:t>
      </w:r>
      <w:r w:rsidR="00CB13C7" w:rsidRPr="0036239D">
        <w:t>n</w:t>
      </w:r>
      <w:r w:rsidRPr="0036239D">
        <w:t xml:space="preserve">de osades on </w:t>
      </w:r>
      <w:r w:rsidR="00CB13C7" w:rsidRPr="0036239D">
        <w:t>siduv käesolev dokument.</w:t>
      </w:r>
    </w:p>
    <w:p w14:paraId="6DB7E420" w14:textId="043526AE" w:rsidR="00404B64" w:rsidRPr="0036239D" w:rsidRDefault="00CB13C7" w:rsidP="00DC63A0">
      <w:pPr>
        <w:numPr>
          <w:ilvl w:val="1"/>
          <w:numId w:val="10"/>
        </w:numPr>
      </w:pPr>
      <w:r w:rsidRPr="0036239D">
        <w:t>T</w:t>
      </w:r>
      <w:r w:rsidR="00404B64" w:rsidRPr="0036239D">
        <w:t xml:space="preserve">ööde teostamise aluseks on hankedokumentide lisaks olev ehitusprojekt. </w:t>
      </w:r>
      <w:r w:rsidR="007F0137" w:rsidRPr="0036239D">
        <w:t>Mastide kõrgus, mastide</w:t>
      </w:r>
      <w:r w:rsidR="00667589">
        <w:t>, konsoolide</w:t>
      </w:r>
      <w:r w:rsidR="007F0137" w:rsidRPr="0036239D">
        <w:t xml:space="preserve"> ja valgustite kujundus (sh värvus, visuaalne väljanägemine) ning tehnilised näitajad on analoogsed varem ehitatud jalgpallihalli esise valgustussüsteemiga ja moodustavad sellega ühtse kujunduse.</w:t>
      </w:r>
      <w:r w:rsidR="00667589">
        <w:t xml:space="preserve"> Alternatiivina näidata pakkumuses pakkumuse maksumuse ja ehitustööde kestvuse võimaliku muutuse, kui mastide, konsoolide valgustite </w:t>
      </w:r>
      <w:r w:rsidR="00FA0C31">
        <w:t>värvus on standar</w:t>
      </w:r>
      <w:r w:rsidR="000E54AA">
        <w:t>d</w:t>
      </w:r>
      <w:r w:rsidR="00FA0C31">
        <w:t>ne (tsingitud või alumiinium).</w:t>
      </w:r>
    </w:p>
    <w:p w14:paraId="6D7E61FC" w14:textId="505E90E7" w:rsidR="00A57DF5" w:rsidRPr="0036239D" w:rsidRDefault="00A57DF5" w:rsidP="00DC63A0">
      <w:pPr>
        <w:numPr>
          <w:ilvl w:val="1"/>
          <w:numId w:val="10"/>
        </w:numPr>
      </w:pPr>
      <w:r w:rsidRPr="0036239D">
        <w:t xml:space="preserve">Kõik tööd tehakse vastavalt kehtivatele normidele. Tööd loetakse lõppenuks peale valgustuse töö kontrollimist, tavapäraste kontrolltoimingute teostamist ja täite- ning kontrolldokumentatsiooni esitamist tellijale ning lõplikult korrastatud </w:t>
      </w:r>
      <w:proofErr w:type="spellStart"/>
      <w:r w:rsidRPr="0036239D">
        <w:t>töömaa</w:t>
      </w:r>
      <w:proofErr w:type="spellEnd"/>
      <w:r w:rsidRPr="0036239D">
        <w:t xml:space="preserve"> üleandmist tellijale.</w:t>
      </w:r>
    </w:p>
    <w:p w14:paraId="5C4C6312" w14:textId="75A4C0C8" w:rsidR="001529A8" w:rsidRPr="0036239D" w:rsidRDefault="001529A8" w:rsidP="00DC63A0">
      <w:pPr>
        <w:numPr>
          <w:ilvl w:val="1"/>
          <w:numId w:val="10"/>
        </w:numPr>
      </w:pPr>
      <w:r w:rsidRPr="0036239D">
        <w:t xml:space="preserve">Tööde koosseisu kuulub ka </w:t>
      </w:r>
      <w:r w:rsidR="00C67F9C" w:rsidRPr="0036239D">
        <w:t xml:space="preserve">projekti nõuetele ja </w:t>
      </w:r>
      <w:proofErr w:type="spellStart"/>
      <w:r w:rsidR="00C67F9C" w:rsidRPr="0036239D">
        <w:t>töömaa</w:t>
      </w:r>
      <w:proofErr w:type="spellEnd"/>
      <w:r w:rsidR="00C67F9C" w:rsidRPr="0036239D">
        <w:t xml:space="preserve"> situatsioonile vastavuse kontrollimine ja  </w:t>
      </w:r>
      <w:r w:rsidRPr="0036239D">
        <w:t xml:space="preserve">vajadusel projekti täpsustamine </w:t>
      </w:r>
      <w:r w:rsidR="00C67F9C" w:rsidRPr="0036239D">
        <w:t xml:space="preserve">ja </w:t>
      </w:r>
      <w:r w:rsidRPr="0036239D">
        <w:t>konkretiseerimine lähtuvalt projekti kontseptsioonist, muudatuste eelnev kooskõlastamine tellijaga.</w:t>
      </w:r>
    </w:p>
    <w:p w14:paraId="31E2D16C" w14:textId="0B41DF1A" w:rsidR="00717420" w:rsidRPr="0036239D" w:rsidRDefault="00F24012" w:rsidP="00DC63A0">
      <w:pPr>
        <w:numPr>
          <w:ilvl w:val="1"/>
          <w:numId w:val="10"/>
        </w:numPr>
      </w:pPr>
      <w:r w:rsidRPr="0036239D">
        <w:t>Pakkuja vaatab pakkumuse ettevalmistamise faasis objekti hoolega üle, mõõdab objekti üle, määrab tööde mahud lähtuvalt oma metoodikast</w:t>
      </w:r>
      <w:r w:rsidR="00B43F0E" w:rsidRPr="0036239D">
        <w:t>, arvestab reaalsete tingimustega</w:t>
      </w:r>
      <w:r w:rsidRPr="0036239D">
        <w:t xml:space="preserve"> ning koostab vastavalt sellel pakkumuse.</w:t>
      </w:r>
      <w:r w:rsidR="00AD1400" w:rsidRPr="0036239D">
        <w:t xml:space="preserve"> Ebaselguse puhul küsib tellijalt selgitusi.</w:t>
      </w:r>
    </w:p>
    <w:p w14:paraId="3A272997" w14:textId="07214DE8" w:rsidR="005F14E1" w:rsidRDefault="005F14E1" w:rsidP="00DC63A0">
      <w:pPr>
        <w:numPr>
          <w:ilvl w:val="1"/>
          <w:numId w:val="10"/>
        </w:numPr>
      </w:pPr>
      <w:r>
        <w:t xml:space="preserve">Projekti joonistel ei ole detailselt ära näidatud maanduse ehitust. Pakkumuse lähtuda põhimaterjalide ja seadmete spetsifikatsioonis ja tööde mahtudes </w:t>
      </w:r>
      <w:r w:rsidR="00AD5966">
        <w:t>loetelus antud mahtudest ja ehitusnormidest.</w:t>
      </w:r>
    </w:p>
    <w:p w14:paraId="79188C55" w14:textId="326A7C16" w:rsidR="004270E7" w:rsidRPr="0036239D" w:rsidRDefault="004270E7" w:rsidP="00DC63A0">
      <w:pPr>
        <w:numPr>
          <w:ilvl w:val="1"/>
          <w:numId w:val="10"/>
        </w:numPr>
      </w:pPr>
      <w:r w:rsidRPr="0036239D">
        <w:t xml:space="preserve">Töömaaga piirneval </w:t>
      </w:r>
      <w:r w:rsidR="00636B21" w:rsidRPr="0036239D">
        <w:t xml:space="preserve">alal </w:t>
      </w:r>
      <w:r w:rsidRPr="0036239D">
        <w:t xml:space="preserve">asub geodeetiline punkt 644, mille kaitsmiseks </w:t>
      </w:r>
      <w:r w:rsidR="00636B21" w:rsidRPr="0036239D">
        <w:t>on projektis kaablitrass osaliselt nihutatud perspektiivsele jalg- ja jalgrattateele. Hankija on kasutusele võtnud meetmed, et geodeetiline punkt 644 likvideerida antud asukohast ja paigutada ümber teise asukohta, kus see ei sega piirkonna ehitustegevust. Pakkuja näitab oma pakkumuses võimaliku pakkumuse maksumuse muutumise, kui geodeetilise punkti asukohta muudetakse ja kaablitrassi ei tule v</w:t>
      </w:r>
      <w:r w:rsidR="006C1A56" w:rsidRPr="0036239D">
        <w:t>iia ümber selle (kaablitrass paigaldatakse sirgelt perspektiivse haljasala alla).</w:t>
      </w:r>
    </w:p>
    <w:p w14:paraId="1158BA5E" w14:textId="313F9341" w:rsidR="007F0137" w:rsidRPr="0036239D" w:rsidRDefault="007F0137" w:rsidP="00DC63A0">
      <w:pPr>
        <w:numPr>
          <w:ilvl w:val="1"/>
          <w:numId w:val="10"/>
        </w:numPr>
      </w:pPr>
      <w:r w:rsidRPr="0036239D">
        <w:t>Tööde koosseisu kuuluvad kõik tegevused, mis on vajalikud objekti ehitamiseks ja legaalseks sisselülitamiseks ( sh objekti mahamärkimine</w:t>
      </w:r>
      <w:r w:rsidR="00B840A9" w:rsidRPr="0036239D">
        <w:t xml:space="preserve">, kaeveloa taotlemine, töölubade taotlemine ja kooskõlastamine töötamiseks teiste kommunikatsioonide kaitsetsoonides, </w:t>
      </w:r>
      <w:r w:rsidR="000A4D30" w:rsidRPr="0036239D">
        <w:t xml:space="preserve">vajadusel teiste kommunikatsioonide ümberpaigutamine, nendele täiendavate kaitsemeetmete kasutuselevõtt, </w:t>
      </w:r>
      <w:r w:rsidR="00B840A9" w:rsidRPr="0036239D">
        <w:t>teostatud tööde dokumenteerimine, katsetamine, kontrolli ja auditeerimise korraldamine, tavapäraste dokumentide esitamine tellijale, ehitatava tänavavalgustuse ühendamine olemasolevate tänavavalgustussüsteemidega.</w:t>
      </w:r>
    </w:p>
    <w:p w14:paraId="63841575" w14:textId="5765CAA3" w:rsidR="00B840A9" w:rsidRPr="0036239D" w:rsidRDefault="00B840A9" w:rsidP="00DC63A0">
      <w:pPr>
        <w:numPr>
          <w:ilvl w:val="1"/>
          <w:numId w:val="10"/>
        </w:numPr>
      </w:pPr>
      <w:proofErr w:type="spellStart"/>
      <w:r w:rsidRPr="0036239D">
        <w:t>Töömaa</w:t>
      </w:r>
      <w:proofErr w:type="spellEnd"/>
      <w:r w:rsidRPr="0036239D">
        <w:t xml:space="preserve"> piirneb avalikult kasutatava tänavamaaga</w:t>
      </w:r>
      <w:r w:rsidR="00426818" w:rsidRPr="0036239D">
        <w:t xml:space="preserve"> ja </w:t>
      </w:r>
      <w:r w:rsidR="000747AF" w:rsidRPr="0036239D">
        <w:t>spordirajatistega ning neid teeni</w:t>
      </w:r>
      <w:r w:rsidR="000A4D30" w:rsidRPr="0036239D">
        <w:t>n</w:t>
      </w:r>
      <w:r w:rsidR="000747AF" w:rsidRPr="0036239D">
        <w:t>davate objektidega</w:t>
      </w:r>
      <w:r w:rsidRPr="0036239D">
        <w:t xml:space="preserve">. Tänaval liikluse sulgemine </w:t>
      </w:r>
      <w:r w:rsidR="000747AF" w:rsidRPr="0036239D">
        <w:t xml:space="preserve">ja ligipääs spordirajatistele </w:t>
      </w:r>
      <w:r w:rsidRPr="0036239D">
        <w:t xml:space="preserve">üldreeglina ei </w:t>
      </w:r>
      <w:r w:rsidRPr="0036239D">
        <w:lastRenderedPageBreak/>
        <w:t xml:space="preserve">ole lubatud. </w:t>
      </w:r>
      <w:r w:rsidR="00A57DF5" w:rsidRPr="0036239D">
        <w:t xml:space="preserve">Erandid kooskõlastada tellijaga. </w:t>
      </w:r>
      <w:r w:rsidRPr="0036239D">
        <w:t>Objektiga piirneval alal toimub tulevikus jalg- ja jalgrattatee ehitus. Tööd teostatakse viisil, mis ei nõua tulevikus paigaldatud kaablite täiendavat kaitset ja ümberpaigutust</w:t>
      </w:r>
      <w:r w:rsidR="000A4D30" w:rsidRPr="0036239D">
        <w:t xml:space="preserve"> (kaabli paigaldussügavus, kaablit kogu ulatuses kaitsva toru kaitseklass)</w:t>
      </w:r>
      <w:r w:rsidRPr="0036239D">
        <w:t>.</w:t>
      </w:r>
    </w:p>
    <w:p w14:paraId="7ACD43A6" w14:textId="77777777" w:rsidR="00417CBD" w:rsidRPr="0036239D" w:rsidRDefault="00426CB0" w:rsidP="00426CB0">
      <w:pPr>
        <w:numPr>
          <w:ilvl w:val="1"/>
          <w:numId w:val="10"/>
        </w:numPr>
      </w:pPr>
      <w:r w:rsidRPr="0036239D">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w:t>
      </w:r>
      <w:r w:rsidR="00B43F0E" w:rsidRPr="0036239D">
        <w:t>tööga kaasnevate</w:t>
      </w:r>
      <w:r w:rsidRPr="0036239D">
        <w:t xml:space="preserve"> ohtude eest),</w:t>
      </w:r>
      <w:r w:rsidR="00FE093C" w:rsidRPr="0036239D">
        <w:t xml:space="preserve"> </w:t>
      </w:r>
      <w:r w:rsidRPr="0036239D">
        <w:t xml:space="preserve">objekti jooksev ja tööde lõpetamise järgne koristus, prügi </w:t>
      </w:r>
      <w:proofErr w:type="spellStart"/>
      <w:r w:rsidRPr="0036239D">
        <w:t>äravedu</w:t>
      </w:r>
      <w:proofErr w:type="spellEnd"/>
      <w:r w:rsidR="00D13C4E" w:rsidRPr="0036239D">
        <w:t xml:space="preserve"> ja utiliseerimine</w:t>
      </w:r>
      <w:r w:rsidRPr="0036239D">
        <w:t xml:space="preserve">, enda poolt rikutud haljastuse jne taastamine esialgsel kujul jne. </w:t>
      </w:r>
    </w:p>
    <w:p w14:paraId="06483011" w14:textId="63EC6781" w:rsidR="00417CBD" w:rsidRPr="0036239D" w:rsidRDefault="00417CBD" w:rsidP="00417CBD">
      <w:pPr>
        <w:numPr>
          <w:ilvl w:val="1"/>
          <w:numId w:val="10"/>
        </w:numPr>
      </w:pPr>
      <w:proofErr w:type="spellStart"/>
      <w:r w:rsidRPr="0036239D">
        <w:t>Töömaa</w:t>
      </w:r>
      <w:proofErr w:type="spellEnd"/>
      <w:r w:rsidRPr="0036239D">
        <w:t xml:space="preserve"> ja töömaaga piirnevate alade ja konstruktsioonide taastamine vähemalt  esialgsel kujul. Kaablikaeviku tagasitäide koos täite tihendamisega piirneva ala tiheduseni toimub piirnevate aladega analoogsete materjalikihtidega (haljasaladel analoogse kivivaba kasvupinnasega koos murukülviga või mätastamisega, teede ja platside puhul ümbritsevaga analoogsete materjalikihtidega koos pinnakatte taastamisega). Vältida edaspidiseid vajumisi ja ümbritsevast pinnast erinevaid külmakerkeid.</w:t>
      </w:r>
    </w:p>
    <w:p w14:paraId="5AC7C182" w14:textId="2FA92048" w:rsidR="00426CB0" w:rsidRPr="0036239D" w:rsidRDefault="00426CB0" w:rsidP="00426CB0">
      <w:pPr>
        <w:numPr>
          <w:ilvl w:val="1"/>
          <w:numId w:val="10"/>
        </w:numPr>
      </w:pPr>
      <w:r w:rsidRPr="0036239D">
        <w:t>Pakkuja ei eelda, et kasutusvalmis objekti valmimiseks teeb töid või kulutusi veel keegi peale töövõtja.</w:t>
      </w:r>
      <w:r w:rsidR="006B0B2A" w:rsidRPr="0036239D">
        <w:t xml:space="preserve"> Tööd tehakse „</w:t>
      </w:r>
      <w:r w:rsidR="00B63AEC" w:rsidRPr="0036239D">
        <w:t>hea tava“ kohaselt.</w:t>
      </w:r>
    </w:p>
    <w:p w14:paraId="46CA5265" w14:textId="79FD6294" w:rsidR="00426CB0" w:rsidRPr="0036239D" w:rsidRDefault="00A36769" w:rsidP="00DC63A0">
      <w:pPr>
        <w:numPr>
          <w:ilvl w:val="1"/>
          <w:numId w:val="10"/>
        </w:numPr>
      </w:pPr>
      <w:r w:rsidRPr="0036239D">
        <w:t>Teostamisele tulevad tööd:</w:t>
      </w:r>
    </w:p>
    <w:p w14:paraId="5A39BBE3" w14:textId="284AE9AD" w:rsidR="000A617F" w:rsidRPr="0036239D" w:rsidRDefault="0084509A" w:rsidP="0001603B">
      <w:pPr>
        <w:numPr>
          <w:ilvl w:val="2"/>
          <w:numId w:val="10"/>
        </w:numPr>
      </w:pPr>
      <w:r w:rsidRPr="0036239D">
        <w:t>Lähtuda hankedokumentidele lisatud</w:t>
      </w:r>
      <w:r w:rsidR="0001603B">
        <w:t xml:space="preserve"> ehitusprojektist.</w:t>
      </w:r>
    </w:p>
    <w:p w14:paraId="508E1212" w14:textId="77777777" w:rsidR="009E064D" w:rsidRPr="0036239D" w:rsidRDefault="000A617F" w:rsidP="00113D3E">
      <w:pPr>
        <w:numPr>
          <w:ilvl w:val="0"/>
          <w:numId w:val="10"/>
        </w:numPr>
      </w:pPr>
      <w:r w:rsidRPr="0036239D">
        <w:t xml:space="preserve">Hankelepingu põhilised tingimused </w:t>
      </w:r>
    </w:p>
    <w:p w14:paraId="1B54441D" w14:textId="6FEFFA86" w:rsidR="009E064D" w:rsidRPr="0036239D" w:rsidRDefault="000A617F" w:rsidP="00113D3E">
      <w:pPr>
        <w:numPr>
          <w:ilvl w:val="1"/>
          <w:numId w:val="10"/>
        </w:numPr>
      </w:pPr>
      <w:r w:rsidRPr="0036239D">
        <w:t xml:space="preserve">Eduka pakkumuse teinud isikuga </w:t>
      </w:r>
      <w:r w:rsidR="009A09AD" w:rsidRPr="0036239D">
        <w:t xml:space="preserve">(isikutega) </w:t>
      </w:r>
      <w:r w:rsidRPr="0036239D">
        <w:t>sõlmitakse hankeleping.</w:t>
      </w:r>
    </w:p>
    <w:p w14:paraId="296D3E68" w14:textId="77777777" w:rsidR="009E064D" w:rsidRPr="0036239D" w:rsidRDefault="000A617F" w:rsidP="00113D3E">
      <w:pPr>
        <w:numPr>
          <w:ilvl w:val="1"/>
          <w:numId w:val="10"/>
        </w:numPr>
      </w:pPr>
      <w:r w:rsidRPr="0036239D">
        <w:t>Hankelepingu sõlmimisel rakendatakse hankedokumendis ja selle lisades toodud nõudeid ja tingimusi.</w:t>
      </w:r>
    </w:p>
    <w:p w14:paraId="24C20F4A" w14:textId="4E72EEF7" w:rsidR="009E064D" w:rsidRPr="0036239D" w:rsidRDefault="000A617F" w:rsidP="00113D3E">
      <w:pPr>
        <w:numPr>
          <w:ilvl w:val="1"/>
          <w:numId w:val="10"/>
        </w:numPr>
      </w:pPr>
      <w:r w:rsidRPr="0036239D">
        <w:t xml:space="preserve">Kõik hankelepingu täitmisega seotud </w:t>
      </w:r>
      <w:r w:rsidR="009E064D" w:rsidRPr="0036239D">
        <w:t>otsesed ja kaudsed kulud sisalduvad lepingu maksumuses ja need</w:t>
      </w:r>
      <w:r w:rsidRPr="0036239D">
        <w:t xml:space="preserve"> kannab töövõtja, kui hankedokumendist ei tulene teisiti.</w:t>
      </w:r>
    </w:p>
    <w:p w14:paraId="2A4668ED" w14:textId="43A96FC8" w:rsidR="00BA609A" w:rsidRPr="0036239D" w:rsidRDefault="00BA609A" w:rsidP="00113D3E">
      <w:pPr>
        <w:numPr>
          <w:ilvl w:val="1"/>
          <w:numId w:val="10"/>
        </w:numPr>
      </w:pPr>
      <w:r w:rsidRPr="0036239D">
        <w:t>Töövõtja annab teostatud töödele ja kasutatavatele materjalidele ning seadmetele 36 kuulise garantii.</w:t>
      </w:r>
    </w:p>
    <w:p w14:paraId="4AD6F13E" w14:textId="1E148ACA" w:rsidR="009E064D" w:rsidRPr="0036239D" w:rsidRDefault="000A617F" w:rsidP="00113D3E">
      <w:pPr>
        <w:numPr>
          <w:ilvl w:val="1"/>
          <w:numId w:val="10"/>
        </w:numPr>
      </w:pPr>
      <w:r w:rsidRPr="0036239D">
        <w:t xml:space="preserve">Hankelepingut rahastatakse </w:t>
      </w:r>
      <w:r w:rsidR="00E517D3" w:rsidRPr="0036239D">
        <w:t>Paide linna</w:t>
      </w:r>
      <w:r w:rsidRPr="0036239D">
        <w:t xml:space="preserve"> eelarvest. Tasumine toimub </w:t>
      </w:r>
      <w:r w:rsidR="00350074" w:rsidRPr="0036239D">
        <w:t xml:space="preserve">ühekordselt peale </w:t>
      </w:r>
      <w:r w:rsidR="003446CA" w:rsidRPr="0036239D">
        <w:t>kõigi tööde lõpetamist</w:t>
      </w:r>
      <w:r w:rsidR="00D4267E">
        <w:t>, kui ei lepita teisiti kokku,</w:t>
      </w:r>
      <w:r w:rsidR="008E0BFC" w:rsidRPr="0036239D">
        <w:t xml:space="preserve"> </w:t>
      </w:r>
      <w:r w:rsidR="003446CA" w:rsidRPr="0036239D">
        <w:t>20</w:t>
      </w:r>
      <w:r w:rsidR="008E0BFC" w:rsidRPr="0036239D">
        <w:t xml:space="preserve"> päeva jooksul peale tellija poolt aktsepteeritud akti ja töövõtja poolt läbi arvekeskuse esitatud arve alusel</w:t>
      </w:r>
      <w:r w:rsidRPr="0036239D">
        <w:t>.</w:t>
      </w:r>
    </w:p>
    <w:p w14:paraId="0A6C8A47" w14:textId="25D39DCF" w:rsidR="00BA3E62" w:rsidRPr="0036239D" w:rsidRDefault="00BA3E62" w:rsidP="00113D3E">
      <w:pPr>
        <w:numPr>
          <w:ilvl w:val="1"/>
          <w:numId w:val="10"/>
        </w:numPr>
      </w:pPr>
      <w:r w:rsidRPr="0036239D">
        <w:t>Tellijal ei ole kohustust tasuda eelnevalt kokku lep</w:t>
      </w:r>
      <w:r w:rsidR="00A55DA9" w:rsidRPr="0036239D">
        <w:t>pimata</w:t>
      </w:r>
      <w:r w:rsidRPr="0036239D">
        <w:t xml:space="preserve"> lisatööde ja -kulutuste eest.</w:t>
      </w:r>
    </w:p>
    <w:p w14:paraId="601536D3" w14:textId="160F6355" w:rsidR="009E064D" w:rsidRPr="0036239D" w:rsidRDefault="009E064D" w:rsidP="005923A1">
      <w:pPr>
        <w:numPr>
          <w:ilvl w:val="1"/>
          <w:numId w:val="10"/>
        </w:numPr>
      </w:pPr>
      <w:r w:rsidRPr="0036239D">
        <w:t>Tellija</w:t>
      </w:r>
      <w:r w:rsidR="00945184" w:rsidRPr="0036239D">
        <w:t xml:space="preserve">l on õigus (enne tasumist) nõuda töövõtjalt selgitusi ja/või dokumente </w:t>
      </w:r>
      <w:r w:rsidR="00A55DA9" w:rsidRPr="0036239D">
        <w:t>tööde ja kasutatud materjalide kohta.</w:t>
      </w:r>
      <w:r w:rsidRPr="0036239D">
        <w:t xml:space="preserve"> </w:t>
      </w:r>
    </w:p>
    <w:p w14:paraId="676276F0" w14:textId="31710FF2" w:rsidR="001818D7" w:rsidRPr="0036239D" w:rsidRDefault="001E64AF" w:rsidP="005923A1">
      <w:pPr>
        <w:numPr>
          <w:ilvl w:val="1"/>
          <w:numId w:val="10"/>
        </w:numPr>
      </w:pPr>
      <w:r w:rsidRPr="0036239D">
        <w:t>Tellijal on õigus jätta ära ja lisada töid ning muuta tööde mahtusid.</w:t>
      </w:r>
    </w:p>
    <w:p w14:paraId="0FA7DDB8" w14:textId="2804D6D9" w:rsidR="00243389" w:rsidRPr="0036239D" w:rsidRDefault="00243389" w:rsidP="00113D3E">
      <w:pPr>
        <w:numPr>
          <w:ilvl w:val="1"/>
          <w:numId w:val="10"/>
        </w:numPr>
      </w:pPr>
      <w:r w:rsidRPr="0036239D">
        <w:t xml:space="preserve">Edukaks tunnistatud pakkuja on kohustatud hankelepingu </w:t>
      </w:r>
      <w:r w:rsidR="00A4782E" w:rsidRPr="0036239D">
        <w:t xml:space="preserve">allkirjastama </w:t>
      </w:r>
      <w:r w:rsidRPr="0036239D">
        <w:t>7 päeva jooksul edukaks tunnistamisest. Nõude pakkujapoolse rikkumise puhul on hankijal õigus see pakkumus tagasi lükata ja viia läbi uus pakkumuste hindamine või korraldada uus hange.</w:t>
      </w:r>
    </w:p>
    <w:p w14:paraId="5CB31CF8" w14:textId="0684F232" w:rsidR="00230905" w:rsidRPr="0036239D" w:rsidRDefault="00230905" w:rsidP="00113D3E">
      <w:pPr>
        <w:numPr>
          <w:ilvl w:val="1"/>
          <w:numId w:val="10"/>
        </w:numPr>
      </w:pPr>
      <w:r w:rsidRPr="0036239D">
        <w:t xml:space="preserve">Hankelepingu täitmise tähtaja ületamisel on tellijal õigus rakendada leppetrahvi kuni </w:t>
      </w:r>
      <w:r w:rsidR="0036239D" w:rsidRPr="0036239D">
        <w:t>0,2 % iga hilinetud päeva eest.</w:t>
      </w:r>
    </w:p>
    <w:p w14:paraId="0332E90D" w14:textId="7382B1A4" w:rsidR="0036239D" w:rsidRPr="0036239D" w:rsidRDefault="0036239D" w:rsidP="0036239D">
      <w:pPr>
        <w:numPr>
          <w:ilvl w:val="1"/>
          <w:numId w:val="10"/>
        </w:numPr>
      </w:pPr>
      <w:r w:rsidRPr="0036239D">
        <w:t>Tasumise tähtaja ületamisel on töövõtjal õigus rakendada leppetrahvi kuni 0,2 % tasumata summast iga hilinetud päeva eest.</w:t>
      </w:r>
    </w:p>
    <w:p w14:paraId="354C1CD7" w14:textId="3F603C1D" w:rsidR="0036239D" w:rsidRPr="0036239D" w:rsidRDefault="0036239D" w:rsidP="00113D3E">
      <w:pPr>
        <w:numPr>
          <w:ilvl w:val="1"/>
          <w:numId w:val="10"/>
        </w:numPr>
      </w:pPr>
      <w:r w:rsidRPr="0036239D">
        <w:t>Ilmastiku, mille puhul ei ole võimalik töid teostada, rakendatakse tehnoloogilist pausi ja see aeg ei lähe tööde teostamise aja sisse.</w:t>
      </w:r>
    </w:p>
    <w:p w14:paraId="41C8F396" w14:textId="77777777" w:rsidR="004E4D24" w:rsidRPr="0036239D" w:rsidRDefault="004E4D24" w:rsidP="004E4D24"/>
    <w:p w14:paraId="39DD050E" w14:textId="77777777" w:rsidR="004E4D24" w:rsidRPr="0036239D" w:rsidRDefault="000A617F" w:rsidP="00113D3E">
      <w:pPr>
        <w:numPr>
          <w:ilvl w:val="0"/>
          <w:numId w:val="10"/>
        </w:numPr>
      </w:pPr>
      <w:r w:rsidRPr="0036239D">
        <w:t>Pakkujale esitatavad kvalifikatsiooninõuded ning kvalifikatsiooni kontrollimine.</w:t>
      </w:r>
    </w:p>
    <w:p w14:paraId="7E62F34F" w14:textId="77777777" w:rsidR="004E4D24" w:rsidRPr="0036239D" w:rsidRDefault="000A617F" w:rsidP="004E4D24">
      <w:pPr>
        <w:numPr>
          <w:ilvl w:val="1"/>
          <w:numId w:val="10"/>
        </w:numPr>
      </w:pPr>
      <w:r w:rsidRPr="0036239D">
        <w:t xml:space="preserve">Pakkujate individuaalse seisundi nõuded. </w:t>
      </w:r>
    </w:p>
    <w:p w14:paraId="271AA3A8" w14:textId="6FDC6640" w:rsidR="004E4D24" w:rsidRPr="0036239D" w:rsidRDefault="000A617F" w:rsidP="00113D3E">
      <w:pPr>
        <w:numPr>
          <w:ilvl w:val="2"/>
          <w:numId w:val="10"/>
        </w:numPr>
      </w:pPr>
      <w:r w:rsidRPr="0036239D">
        <w:t>Hankija</w:t>
      </w:r>
      <w:r w:rsidR="005923A1" w:rsidRPr="0036239D">
        <w:t xml:space="preserve">l on </w:t>
      </w:r>
      <w:r w:rsidRPr="0036239D">
        <w:t xml:space="preserve"> </w:t>
      </w:r>
      <w:r w:rsidR="005923A1" w:rsidRPr="0036239D">
        <w:t xml:space="preserve">õigus mitte </w:t>
      </w:r>
      <w:r w:rsidRPr="0036239D">
        <w:t>ei sõlmi</w:t>
      </w:r>
      <w:r w:rsidR="005923A1" w:rsidRPr="0036239D">
        <w:t>da</w:t>
      </w:r>
      <w:r w:rsidRPr="0036239D">
        <w:t xml:space="preserve"> hankelepingut isikuga ja kõrvalda</w:t>
      </w:r>
      <w:r w:rsidR="005923A1" w:rsidRPr="0036239D">
        <w:t xml:space="preserve">da ta </w:t>
      </w:r>
      <w:r w:rsidRPr="0036239D">
        <w:t xml:space="preserve"> hankemenetlusest mis tahes aja</w:t>
      </w:r>
      <w:r w:rsidR="005923A1" w:rsidRPr="0036239D">
        <w:t xml:space="preserve">, kui tal on </w:t>
      </w:r>
      <w:r w:rsidR="009A09AD" w:rsidRPr="0036239D">
        <w:t>riiklike maksude võlg üle 100 euro</w:t>
      </w:r>
      <w:r w:rsidR="006922E3" w:rsidRPr="0036239D">
        <w:t>. Hankija kontrollib nõude täitmist Maksu- ja Tolliameti andmebaasist.</w:t>
      </w:r>
    </w:p>
    <w:p w14:paraId="251E5CEA" w14:textId="77777777" w:rsidR="004E4D24" w:rsidRPr="0036239D" w:rsidRDefault="000A617F" w:rsidP="00113D3E">
      <w:pPr>
        <w:numPr>
          <w:ilvl w:val="1"/>
          <w:numId w:val="10"/>
        </w:numPr>
      </w:pPr>
      <w:r w:rsidRPr="0036239D">
        <w:t>Pakkuja majanduslik ja finantsseisund</w:t>
      </w:r>
    </w:p>
    <w:p w14:paraId="04A37C9F" w14:textId="191E6585" w:rsidR="004E4D24" w:rsidRPr="0036239D" w:rsidRDefault="000A617F" w:rsidP="00113D3E">
      <w:pPr>
        <w:numPr>
          <w:ilvl w:val="2"/>
          <w:numId w:val="10"/>
        </w:numPr>
      </w:pPr>
      <w:r w:rsidRPr="0036239D">
        <w:t>Pakkuja</w:t>
      </w:r>
      <w:r w:rsidR="007C6018" w:rsidRPr="0036239D">
        <w:t xml:space="preserve"> peab olema piisava majandusliku võimekusega. Nõue on täidetud, kui tema </w:t>
      </w:r>
      <w:r w:rsidRPr="0036239D">
        <w:t xml:space="preserve"> 20</w:t>
      </w:r>
      <w:r w:rsidR="004E4D24" w:rsidRPr="0036239D">
        <w:t>2</w:t>
      </w:r>
      <w:r w:rsidR="00A4782E" w:rsidRPr="0036239D">
        <w:t>4</w:t>
      </w:r>
      <w:r w:rsidR="004E4D24" w:rsidRPr="0036239D">
        <w:t>.</w:t>
      </w:r>
      <w:r w:rsidR="004012F5" w:rsidRPr="0036239D">
        <w:t xml:space="preserve"> </w:t>
      </w:r>
      <w:r w:rsidR="007C6018" w:rsidRPr="0036239D">
        <w:t xml:space="preserve">aasta </w:t>
      </w:r>
      <w:r w:rsidRPr="0036239D">
        <w:t xml:space="preserve">netokäive </w:t>
      </w:r>
      <w:r w:rsidR="007C6018" w:rsidRPr="0036239D">
        <w:t>on vähemalt</w:t>
      </w:r>
      <w:r w:rsidRPr="0036239D">
        <w:t xml:space="preserve"> </w:t>
      </w:r>
      <w:r w:rsidR="00A4782E" w:rsidRPr="0036239D">
        <w:t>1</w:t>
      </w:r>
      <w:r w:rsidR="00141DBB" w:rsidRPr="0036239D">
        <w:t>2</w:t>
      </w:r>
      <w:r w:rsidRPr="0036239D">
        <w:t xml:space="preserve">0 000 eurot. </w:t>
      </w:r>
      <w:r w:rsidR="008938EB" w:rsidRPr="0036239D">
        <w:t xml:space="preserve">Hankija kontrollib nõude täitmist avalikest andmetest või pakkuja </w:t>
      </w:r>
      <w:r w:rsidRPr="0036239D">
        <w:t xml:space="preserve">esitab </w:t>
      </w:r>
      <w:r w:rsidR="004E4D24" w:rsidRPr="0036239D">
        <w:t xml:space="preserve">vastava näitaja pakkumuse koosseisus </w:t>
      </w:r>
      <w:r w:rsidRPr="0036239D">
        <w:t>või väljavõtte aastaaruandest netokäibe kinnitamiseks.</w:t>
      </w:r>
    </w:p>
    <w:p w14:paraId="41921CBD" w14:textId="77777777" w:rsidR="004E4D24" w:rsidRPr="0036239D" w:rsidRDefault="000A617F" w:rsidP="005303F5">
      <w:pPr>
        <w:numPr>
          <w:ilvl w:val="1"/>
          <w:numId w:val="10"/>
        </w:numPr>
      </w:pPr>
      <w:r w:rsidRPr="0036239D">
        <w:t>Pakkujate ja taotlejate tehniline ja kutsealane pädevus.</w:t>
      </w:r>
    </w:p>
    <w:p w14:paraId="57654D67" w14:textId="44C98FB2" w:rsidR="002A7B84" w:rsidRPr="0036239D" w:rsidRDefault="002826D8" w:rsidP="00860DE9">
      <w:pPr>
        <w:numPr>
          <w:ilvl w:val="2"/>
          <w:numId w:val="10"/>
        </w:numPr>
      </w:pPr>
      <w:r w:rsidRPr="0036239D">
        <w:lastRenderedPageBreak/>
        <w:t xml:space="preserve">Pakkujal peab olema </w:t>
      </w:r>
      <w:r w:rsidR="00A55DA9" w:rsidRPr="0036239D">
        <w:t>pä</w:t>
      </w:r>
      <w:r w:rsidR="002A7B84" w:rsidRPr="0036239D">
        <w:t>dev pakutavate tööde teostamiseks</w:t>
      </w:r>
      <w:r w:rsidRPr="0036239D">
        <w:t xml:space="preserve">. </w:t>
      </w:r>
      <w:r w:rsidR="002A7B84" w:rsidRPr="0036239D">
        <w:t>Nõue on täidetud, kui</w:t>
      </w:r>
      <w:r w:rsidR="00245E60" w:rsidRPr="0036239D">
        <w:t xml:space="preserve"> p</w:t>
      </w:r>
      <w:r w:rsidR="002A7B84" w:rsidRPr="0036239D">
        <w:t xml:space="preserve">akkujal on MTR-s registreering </w:t>
      </w:r>
      <w:r w:rsidR="005A638F" w:rsidRPr="0036239D">
        <w:t>seadmetööd</w:t>
      </w:r>
      <w:r w:rsidR="005303F5" w:rsidRPr="0036239D">
        <w:t xml:space="preserve"> - </w:t>
      </w:r>
      <w:proofErr w:type="spellStart"/>
      <w:r w:rsidR="005303F5" w:rsidRPr="0036239D">
        <w:t>elektritööd</w:t>
      </w:r>
      <w:proofErr w:type="spellEnd"/>
      <w:r w:rsidR="002A7B84" w:rsidRPr="0036239D">
        <w:t>, või</w:t>
      </w:r>
      <w:r w:rsidR="00245E60" w:rsidRPr="0036239D">
        <w:t xml:space="preserve"> p</w:t>
      </w:r>
      <w:r w:rsidR="002A7B84" w:rsidRPr="0036239D">
        <w:t xml:space="preserve">akkuja </w:t>
      </w:r>
      <w:r w:rsidR="00A770B3" w:rsidRPr="0036239D">
        <w:t xml:space="preserve">pakutavate tööde teostamise eest </w:t>
      </w:r>
      <w:r w:rsidR="002A7B84" w:rsidRPr="0036239D">
        <w:t xml:space="preserve">vastutaval isikul on </w:t>
      </w:r>
      <w:r w:rsidR="008938EB" w:rsidRPr="0036239D">
        <w:t xml:space="preserve">vähemalt kvalifikatsioon </w:t>
      </w:r>
      <w:r w:rsidR="005303F5" w:rsidRPr="0036239D">
        <w:t xml:space="preserve">elektriinsener, tase </w:t>
      </w:r>
      <w:r w:rsidR="00A770B3" w:rsidRPr="0036239D">
        <w:t>6</w:t>
      </w:r>
      <w:r w:rsidR="008938EB" w:rsidRPr="0036239D">
        <w:t xml:space="preserve"> või diplomeeritud elektriinsener tase 7</w:t>
      </w:r>
      <w:r w:rsidR="00A4782E" w:rsidRPr="0036239D">
        <w:t>.</w:t>
      </w:r>
    </w:p>
    <w:p w14:paraId="2A5FA009" w14:textId="039A75C3" w:rsidR="000D44B0" w:rsidRPr="0036239D" w:rsidRDefault="000D44B0" w:rsidP="005303F5">
      <w:pPr>
        <w:numPr>
          <w:ilvl w:val="2"/>
          <w:numId w:val="10"/>
        </w:numPr>
      </w:pPr>
      <w:r w:rsidRPr="0036239D">
        <w:t xml:space="preserve">Pakkuja on 2020. kuni pakkumuse esitamiseni ehitanud </w:t>
      </w:r>
      <w:r w:rsidR="00287CC0" w:rsidRPr="0036239D">
        <w:t>vähemalt ühe analoogse objekti (elektri välisvõrk või välisvalgustussüsteem maksumusega vähemalt 10000 eurot</w:t>
      </w:r>
      <w:r w:rsidR="00245E60" w:rsidRPr="0036239D">
        <w:t>.</w:t>
      </w:r>
    </w:p>
    <w:p w14:paraId="0D0B940D" w14:textId="77777777" w:rsidR="000A617F" w:rsidRPr="00F00EE3" w:rsidRDefault="000A617F" w:rsidP="00CB009B"/>
    <w:p w14:paraId="0DB59E8A" w14:textId="77777777" w:rsidR="004C0391" w:rsidRPr="00F00EE3" w:rsidRDefault="000A617F" w:rsidP="00113D3E">
      <w:pPr>
        <w:numPr>
          <w:ilvl w:val="0"/>
          <w:numId w:val="10"/>
        </w:numPr>
      </w:pPr>
      <w:r w:rsidRPr="00F00EE3">
        <w:t>Pakkumuse struktuur ja nõutud dokumentide loetelu ning pakkumuse märgistamise nõuded</w:t>
      </w:r>
      <w:r w:rsidR="006922E3" w:rsidRPr="00F00EE3">
        <w:t>:</w:t>
      </w:r>
    </w:p>
    <w:p w14:paraId="3CA67DDB" w14:textId="50B685F2" w:rsidR="0050505C" w:rsidRPr="00EC5AD9" w:rsidRDefault="0050505C" w:rsidP="004C0391">
      <w:pPr>
        <w:numPr>
          <w:ilvl w:val="1"/>
          <w:numId w:val="10"/>
        </w:numPr>
      </w:pPr>
      <w:r w:rsidRPr="00F00EE3">
        <w:t>Lisa 1 vormikohane p</w:t>
      </w:r>
      <w:r w:rsidR="000A617F" w:rsidRPr="00F00EE3">
        <w:t xml:space="preserve">akkumus ja sellele lisatud dokumendid </w:t>
      </w:r>
      <w:r w:rsidR="004C0391" w:rsidRPr="00F00EE3">
        <w:t xml:space="preserve">saata (pakkuja seadusliku esindaja poolt digitaalselt allkirjastatult) e-posti aadressile </w:t>
      </w:r>
      <w:hyperlink r:id="rId12" w:history="1">
        <w:r w:rsidR="001B1CD8" w:rsidRPr="00F00EE3">
          <w:rPr>
            <w:rStyle w:val="Hyperlink"/>
            <w:color w:val="auto"/>
          </w:rPr>
          <w:t>enn.mager@paide.ee</w:t>
        </w:r>
      </w:hyperlink>
      <w:r w:rsidR="004C0391" w:rsidRPr="00F00EE3">
        <w:t xml:space="preserve"> hiljemalt </w:t>
      </w:r>
      <w:r w:rsidR="00CB009B">
        <w:t>21.11.2025</w:t>
      </w:r>
      <w:r w:rsidR="004C0391" w:rsidRPr="00F00EE3">
        <w:t xml:space="preserve"> kella 1</w:t>
      </w:r>
      <w:r w:rsidR="002504EA">
        <w:t>3</w:t>
      </w:r>
      <w:r w:rsidR="004C0391" w:rsidRPr="00F00EE3">
        <w:t>.00-ks</w:t>
      </w:r>
      <w:r w:rsidRPr="00F00EE3">
        <w:t xml:space="preserve">. Märgusõnaks </w:t>
      </w:r>
      <w:r w:rsidRPr="00EC5AD9">
        <w:t>„</w:t>
      </w:r>
      <w:r w:rsidR="00FE093C" w:rsidRPr="00EC5AD9">
        <w:t xml:space="preserve">Paide linna Staadioni tn tänavavalgustuse ehitamine </w:t>
      </w:r>
      <w:r w:rsidRPr="00EC5AD9">
        <w:t>pakkumus“.</w:t>
      </w:r>
    </w:p>
    <w:p w14:paraId="4B333D2F" w14:textId="77777777" w:rsidR="000A617F" w:rsidRPr="00F00EE3" w:rsidRDefault="004C0391" w:rsidP="00931714">
      <w:pPr>
        <w:numPr>
          <w:ilvl w:val="1"/>
          <w:numId w:val="10"/>
        </w:numPr>
      </w:pPr>
      <w:r w:rsidRPr="00F00EE3">
        <w:t xml:space="preserve"> </w:t>
      </w:r>
      <w:r w:rsidR="000A617F" w:rsidRPr="00F00EE3">
        <w:t xml:space="preserve">Ühispakkumuse puhul </w:t>
      </w:r>
      <w:r w:rsidR="00931714" w:rsidRPr="00F00EE3">
        <w:t xml:space="preserve">lisada </w:t>
      </w:r>
      <w:r w:rsidR="000A617F" w:rsidRPr="00F00EE3">
        <w:t xml:space="preserve">ühispakkujate volikirjad nende esindajale volituste andmise kohta; </w:t>
      </w:r>
    </w:p>
    <w:p w14:paraId="0E27B00A" w14:textId="77777777" w:rsidR="000A617F" w:rsidRPr="00F00EE3" w:rsidRDefault="000A617F" w:rsidP="00113D3E"/>
    <w:p w14:paraId="51244742" w14:textId="77777777" w:rsidR="00931714" w:rsidRPr="00F00EE3" w:rsidRDefault="000A617F" w:rsidP="00931714">
      <w:pPr>
        <w:numPr>
          <w:ilvl w:val="0"/>
          <w:numId w:val="10"/>
        </w:numPr>
      </w:pPr>
      <w:r w:rsidRPr="00F00EE3">
        <w:t>Pakkumuste avamise täpne koht ja aeg</w:t>
      </w:r>
    </w:p>
    <w:p w14:paraId="553684DB" w14:textId="77777777" w:rsidR="000A617F" w:rsidRPr="00F00EE3" w:rsidRDefault="008E40E0" w:rsidP="00931714">
      <w:pPr>
        <w:numPr>
          <w:ilvl w:val="1"/>
          <w:numId w:val="10"/>
        </w:numPr>
      </w:pPr>
      <w:r w:rsidRPr="00F00EE3">
        <w:t>Hankija avab pakkumused ilma pakkujate juuresolekuta</w:t>
      </w:r>
    </w:p>
    <w:p w14:paraId="60061E4C" w14:textId="77777777" w:rsidR="000A617F" w:rsidRPr="00F00EE3" w:rsidRDefault="000A617F" w:rsidP="00113D3E"/>
    <w:p w14:paraId="68CF2379" w14:textId="77777777" w:rsidR="00931714" w:rsidRPr="00F00EE3" w:rsidRDefault="000A617F" w:rsidP="00931714">
      <w:pPr>
        <w:numPr>
          <w:ilvl w:val="1"/>
          <w:numId w:val="10"/>
        </w:numPr>
      </w:pPr>
      <w:r w:rsidRPr="00F00EE3">
        <w:t>Pakkumuste tagasilükkamine.</w:t>
      </w:r>
      <w:r w:rsidR="00931714" w:rsidRPr="00F00EE3">
        <w:t xml:space="preserve"> </w:t>
      </w:r>
      <w:r w:rsidRPr="00F00EE3">
        <w:t>Hankijal on õigus tagasi lükata kõik pakkumused, kui</w:t>
      </w:r>
    </w:p>
    <w:p w14:paraId="5C65FC3F" w14:textId="77777777" w:rsidR="00931714" w:rsidRPr="00F00EE3" w:rsidRDefault="000A617F" w:rsidP="00931714">
      <w:pPr>
        <w:numPr>
          <w:ilvl w:val="1"/>
          <w:numId w:val="10"/>
        </w:numPr>
      </w:pPr>
      <w:r w:rsidRPr="00F00EE3">
        <w:t>kõigi vastavaks tunnistatud pakkumuste maksumused ületavad hankelepingu eeldatavat maksumust;</w:t>
      </w:r>
    </w:p>
    <w:p w14:paraId="6A2572C1" w14:textId="77777777" w:rsidR="000A617F" w:rsidRPr="00F00EE3" w:rsidRDefault="000A617F" w:rsidP="00931714">
      <w:pPr>
        <w:numPr>
          <w:ilvl w:val="1"/>
          <w:numId w:val="10"/>
        </w:numPr>
      </w:pPr>
      <w:r w:rsidRPr="00F00EE3">
        <w:t>ükski pakkumus ei vasta hankedokumentides kehtestatud tingimustele.</w:t>
      </w:r>
    </w:p>
    <w:p w14:paraId="44EAFD9C" w14:textId="77777777" w:rsidR="00931714" w:rsidRPr="00F00EE3" w:rsidRDefault="00931714" w:rsidP="00931714"/>
    <w:p w14:paraId="05FCF18D" w14:textId="77777777" w:rsidR="00931714" w:rsidRPr="00F00EE3" w:rsidRDefault="000A617F" w:rsidP="00931714">
      <w:pPr>
        <w:numPr>
          <w:ilvl w:val="0"/>
          <w:numId w:val="10"/>
        </w:numPr>
      </w:pPr>
      <w:bookmarkStart w:id="3" w:name="_Hlk510756668"/>
      <w:r w:rsidRPr="00F00EE3">
        <w:t>Täiendava teabe nõudmise õigus.</w:t>
      </w:r>
      <w:bookmarkEnd w:id="3"/>
    </w:p>
    <w:p w14:paraId="74B61BC2" w14:textId="77777777" w:rsidR="00931714" w:rsidRPr="00F00EE3" w:rsidRDefault="000A617F" w:rsidP="00931714">
      <w:pPr>
        <w:numPr>
          <w:ilvl w:val="1"/>
          <w:numId w:val="10"/>
        </w:numPr>
      </w:pPr>
      <w:r w:rsidRPr="00F00EE3">
        <w:t xml:space="preserve">Infovahetus hankija ja pakkujate vahel toimub </w:t>
      </w:r>
      <w:r w:rsidR="00931714" w:rsidRPr="00F00EE3">
        <w:t>e-posti vahendusel.</w:t>
      </w:r>
    </w:p>
    <w:p w14:paraId="47A53FE2" w14:textId="77777777" w:rsidR="00931714" w:rsidRPr="00F00EE3" w:rsidRDefault="000A617F" w:rsidP="00931714">
      <w:pPr>
        <w:numPr>
          <w:ilvl w:val="1"/>
          <w:numId w:val="10"/>
        </w:numPr>
      </w:pPr>
      <w:r w:rsidRPr="00F00EE3">
        <w:t>Hankijal on õigus nõuda vajadusel pakkuja kvalifikatsiooni tõendamise kohta täiendavaid selgitusi ja täiendavate dokumentide esitamist. Pakkuja on kohustatud täiendavad selgitused ja dokumendid esitama 3 tööpäeva jooksul. Dokumentide mitteesitamisel ja/või rahuldavate selgituste mittesaamisel on hankijal õigus pakkuja tunnistada kvalifikatsiooninõuetele mittevastavaks.</w:t>
      </w:r>
    </w:p>
    <w:p w14:paraId="48165151" w14:textId="4C191C97" w:rsidR="008E40E0" w:rsidRPr="00F00EE3" w:rsidRDefault="000A617F" w:rsidP="00931714">
      <w:pPr>
        <w:numPr>
          <w:ilvl w:val="1"/>
          <w:numId w:val="10"/>
        </w:numPr>
      </w:pPr>
      <w:r w:rsidRPr="00F00EE3">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F00EE3" w:rsidRDefault="007F52F1" w:rsidP="00113D3E"/>
    <w:p w14:paraId="40E87C39" w14:textId="77777777" w:rsidR="00931714" w:rsidRPr="00F00EE3" w:rsidRDefault="00931714" w:rsidP="007F52F1">
      <w:pPr>
        <w:numPr>
          <w:ilvl w:val="0"/>
          <w:numId w:val="10"/>
        </w:numPr>
      </w:pPr>
      <w:r w:rsidRPr="00F00EE3">
        <w:t>Läbirääkimiste pidamine</w:t>
      </w:r>
    </w:p>
    <w:p w14:paraId="47D7C240" w14:textId="5E08A15B" w:rsidR="001B1CD8" w:rsidRDefault="00931714" w:rsidP="00931714">
      <w:pPr>
        <w:numPr>
          <w:ilvl w:val="1"/>
          <w:numId w:val="10"/>
        </w:numPr>
      </w:pPr>
      <w:r w:rsidRPr="00F00EE3">
        <w:t>Hankijal on õigus pakkujatega pidada läbirääkimisi pakkumuse maksumuse, tööde teostamise aja ja muude sisuliste küsimuste osas</w:t>
      </w:r>
      <w:r w:rsidR="00B03E06" w:rsidRPr="00F00EE3">
        <w:t xml:space="preserve"> ning anda pakkujatele võimalus pakkumuste korrigeerimiseks.</w:t>
      </w:r>
    </w:p>
    <w:p w14:paraId="0C2313D4" w14:textId="77777777" w:rsidR="004012F5" w:rsidRDefault="004012F5" w:rsidP="004012F5"/>
    <w:p w14:paraId="79982D23" w14:textId="29CDB04D" w:rsidR="004012F5" w:rsidRDefault="004012F5" w:rsidP="004012F5">
      <w:pPr>
        <w:numPr>
          <w:ilvl w:val="0"/>
          <w:numId w:val="10"/>
        </w:numPr>
      </w:pPr>
      <w:r>
        <w:t>Pakkumuse edukaks tunnistamine</w:t>
      </w:r>
    </w:p>
    <w:p w14:paraId="52F15456" w14:textId="6D40957D" w:rsidR="004012F5" w:rsidRPr="00F00EE3" w:rsidRDefault="004012F5" w:rsidP="004012F5">
      <w:pPr>
        <w:numPr>
          <w:ilvl w:val="1"/>
          <w:numId w:val="10"/>
        </w:numPr>
      </w:pPr>
      <w:r>
        <w:t xml:space="preserve">Hankijal on õigus pakkumus edukaks tunnistada kas </w:t>
      </w:r>
      <w:r w:rsidR="001E64AF">
        <w:t>kõigi pakutavate tööde</w:t>
      </w:r>
      <w:r w:rsidR="007A4AE2">
        <w:t xml:space="preserve"> ja mahtude</w:t>
      </w:r>
      <w:r w:rsidR="001E64AF">
        <w:t xml:space="preserve"> osas või ainult mõne töö osas </w:t>
      </w:r>
      <w:r>
        <w:t>(sõltuvalt pakkumuste maksumusest ja tellija maksejõust)</w:t>
      </w:r>
      <w:r w:rsidR="005513A1">
        <w:t>. Edukaks tunnistatakse tellijale soodsaim pakkumus, lähtuvalt pakkumuse maksumusest, tööde kestvusest ja ajast, kasutatavast tehnoloogiast</w:t>
      </w:r>
      <w:r w:rsidR="0079271E">
        <w:t xml:space="preserve"> ja töökorraldusest</w:t>
      </w:r>
      <w:r w:rsidR="001E64AF">
        <w:t>)</w:t>
      </w:r>
      <w:r w:rsidR="0079271E">
        <w:t>.</w:t>
      </w:r>
    </w:p>
    <w:p w14:paraId="15E9DDDF" w14:textId="03C599A3" w:rsidR="001B1CD8" w:rsidRPr="00F00EE3" w:rsidRDefault="001B1CD8">
      <w:pPr>
        <w:suppressAutoHyphens w:val="0"/>
      </w:pPr>
    </w:p>
    <w:p w14:paraId="7DA8244D" w14:textId="77777777" w:rsidR="001D3B7B" w:rsidRDefault="001D3B7B">
      <w:pPr>
        <w:suppressAutoHyphens w:val="0"/>
      </w:pPr>
      <w:r>
        <w:br w:type="page"/>
      </w:r>
    </w:p>
    <w:p w14:paraId="40CCA22E" w14:textId="0640137E" w:rsidR="001D3B7B" w:rsidRDefault="001D3B7B" w:rsidP="00F20354">
      <w:pPr>
        <w:ind w:left="8496"/>
        <w:jc w:val="center"/>
      </w:pPr>
      <w:r>
        <w:lastRenderedPageBreak/>
        <w:t>Lisa 1</w:t>
      </w:r>
    </w:p>
    <w:p w14:paraId="633881F1" w14:textId="039CE3B2" w:rsidR="00B136FF" w:rsidRDefault="00B136FF" w:rsidP="00152247">
      <w:pPr>
        <w:ind w:left="7080"/>
        <w:jc w:val="center"/>
      </w:pPr>
      <w:r>
        <w:t xml:space="preserve">Saata </w:t>
      </w:r>
      <w:hyperlink r:id="rId13" w:history="1">
        <w:r w:rsidR="00152247" w:rsidRPr="00CD632C">
          <w:rPr>
            <w:rStyle w:val="Hyperlink"/>
          </w:rPr>
          <w:t>enn.mager@paide.ee</w:t>
        </w:r>
      </w:hyperlink>
      <w:r w:rsidR="00152247">
        <w:t xml:space="preserve"> </w:t>
      </w:r>
      <w:r w:rsidR="00CB009B" w:rsidRPr="00F00EE3">
        <w:t xml:space="preserve">hiljemalt </w:t>
      </w:r>
      <w:r w:rsidR="00CB009B">
        <w:t>21.11.2025</w:t>
      </w:r>
      <w:r w:rsidR="00CB009B" w:rsidRPr="00F00EE3">
        <w:t xml:space="preserve"> kella 1</w:t>
      </w:r>
      <w:r w:rsidR="00CB009B">
        <w:t>3</w:t>
      </w:r>
      <w:r w:rsidR="00CB009B" w:rsidRPr="00F00EE3">
        <w:t>.00</w:t>
      </w:r>
      <w:r w:rsidR="00CB009B">
        <w:t xml:space="preserve">- </w:t>
      </w:r>
      <w:proofErr w:type="spellStart"/>
      <w:r w:rsidR="00CB009B">
        <w:t>k</w:t>
      </w:r>
      <w:r w:rsidR="00CB009B" w:rsidRPr="00F00EE3">
        <w:t>s</w:t>
      </w:r>
      <w:proofErr w:type="spellEnd"/>
      <w:r w:rsidR="00CB009B" w:rsidRPr="00F00EE3">
        <w:t>.</w:t>
      </w:r>
      <w:r w:rsidR="00CB009B">
        <w:t xml:space="preserve"> </w:t>
      </w:r>
    </w:p>
    <w:p w14:paraId="17931C24" w14:textId="3685A9B7" w:rsidR="001B1CD8" w:rsidRPr="00EC5AD9" w:rsidRDefault="001B1CD8" w:rsidP="002E15C2">
      <w:pPr>
        <w:jc w:val="center"/>
      </w:pPr>
      <w:r w:rsidRPr="00EC5AD9">
        <w:t>Alla lihthanke piirmäära jääv han</w:t>
      </w:r>
      <w:r w:rsidR="002E15C2" w:rsidRPr="00EC5AD9">
        <w:t>g</w:t>
      </w:r>
      <w:r w:rsidRPr="00EC5AD9">
        <w:t>e</w:t>
      </w:r>
    </w:p>
    <w:p w14:paraId="7B14E38C" w14:textId="664471C4" w:rsidR="001B1CD8" w:rsidRPr="00EC5AD9" w:rsidRDefault="001B1CD8" w:rsidP="002E15C2">
      <w:pPr>
        <w:jc w:val="center"/>
      </w:pPr>
      <w:r w:rsidRPr="00EC5AD9">
        <w:t>„</w:t>
      </w:r>
      <w:r w:rsidR="00137CB8" w:rsidRPr="00EC5AD9">
        <w:t>Paide linna Staadioni tn tänavavalgustuse ehitamine</w:t>
      </w:r>
      <w:r w:rsidRPr="00EC5AD9">
        <w:t>“</w:t>
      </w:r>
    </w:p>
    <w:p w14:paraId="11847CA4" w14:textId="77777777" w:rsidR="002E15C2" w:rsidRPr="00EC5AD9" w:rsidRDefault="002E15C2" w:rsidP="002E15C2"/>
    <w:p w14:paraId="76A7B4E4" w14:textId="22AE4977" w:rsidR="001B1CD8" w:rsidRPr="00EC5AD9" w:rsidRDefault="001B1CD8" w:rsidP="001B1CD8">
      <w:r w:rsidRPr="00EC5AD9">
        <w:t xml:space="preserve"> PAKKUJA KINNITUSED JA pakkumus</w:t>
      </w:r>
    </w:p>
    <w:p w14:paraId="13452251" w14:textId="77777777" w:rsidR="002E15C2" w:rsidRPr="00EC5AD9" w:rsidRDefault="002E15C2" w:rsidP="001B1CD8"/>
    <w:p w14:paraId="1AD3897D" w14:textId="77777777" w:rsidR="001B1CD8" w:rsidRPr="00EC5AD9" w:rsidRDefault="001B1CD8" w:rsidP="001B1CD8">
      <w:r w:rsidRPr="00EC5AD9">
        <w:t xml:space="preserve">Hankija Paide Linnavalitsus, registrikood 77000246, </w:t>
      </w:r>
    </w:p>
    <w:p w14:paraId="404E4139" w14:textId="77777777" w:rsidR="001B1CD8" w:rsidRPr="00EC5AD9" w:rsidRDefault="001B1CD8" w:rsidP="001B1CD8">
      <w:r w:rsidRPr="00EC5AD9">
        <w:t>Pakkuja:</w:t>
      </w:r>
    </w:p>
    <w:p w14:paraId="1529061F" w14:textId="77777777" w:rsidR="001B1CD8" w:rsidRPr="00EC5AD9" w:rsidRDefault="001B1CD8" w:rsidP="001B1CD8">
      <w:r w:rsidRPr="00EC5AD9">
        <w:tab/>
        <w:t>Nimi</w:t>
      </w:r>
      <w:r w:rsidRPr="00EC5AD9">
        <w:tab/>
      </w:r>
      <w:r w:rsidRPr="00EC5AD9">
        <w:tab/>
        <w:t>……………………………….</w:t>
      </w:r>
    </w:p>
    <w:p w14:paraId="61DC81A4" w14:textId="77777777" w:rsidR="001B1CD8" w:rsidRPr="00EC5AD9" w:rsidRDefault="001B1CD8" w:rsidP="001B1CD8">
      <w:r w:rsidRPr="00EC5AD9">
        <w:tab/>
        <w:t>Registrikood</w:t>
      </w:r>
      <w:r w:rsidRPr="00EC5AD9">
        <w:tab/>
        <w:t>………………………………..</w:t>
      </w:r>
    </w:p>
    <w:p w14:paraId="63665B20" w14:textId="77777777" w:rsidR="001B1CD8" w:rsidRPr="00EC5AD9" w:rsidRDefault="001B1CD8" w:rsidP="001B1CD8">
      <w:r w:rsidRPr="00EC5AD9">
        <w:tab/>
        <w:t>Postiaadress</w:t>
      </w:r>
      <w:r w:rsidRPr="00EC5AD9">
        <w:tab/>
        <w:t>………………………………..</w:t>
      </w:r>
    </w:p>
    <w:p w14:paraId="68C2BFB3" w14:textId="77777777" w:rsidR="001B1CD8" w:rsidRPr="00EC5AD9" w:rsidRDefault="001B1CD8" w:rsidP="001B1CD8">
      <w:r w:rsidRPr="00EC5AD9">
        <w:tab/>
        <w:t>E-post</w:t>
      </w:r>
      <w:r w:rsidRPr="00EC5AD9">
        <w:tab/>
      </w:r>
      <w:r w:rsidRPr="00EC5AD9">
        <w:tab/>
        <w:t>……………………………….</w:t>
      </w:r>
    </w:p>
    <w:p w14:paraId="12413782" w14:textId="77777777" w:rsidR="001B1CD8" w:rsidRPr="00EC5AD9" w:rsidRDefault="001B1CD8" w:rsidP="001B1CD8">
      <w:r w:rsidRPr="00EC5AD9">
        <w:tab/>
        <w:t>Telefon</w:t>
      </w:r>
      <w:r w:rsidRPr="00EC5AD9">
        <w:tab/>
        <w:t>……………………………….</w:t>
      </w:r>
    </w:p>
    <w:p w14:paraId="6AFB24E8" w14:textId="77777777" w:rsidR="001B1CD8" w:rsidRPr="00EC5AD9" w:rsidRDefault="001B1CD8" w:rsidP="001B1CD8">
      <w:r w:rsidRPr="00EC5AD9">
        <w:tab/>
        <w:t>Pakkuja kontaktisik (esindaja või volitatud esindaja) pakkumuse osas</w:t>
      </w:r>
    </w:p>
    <w:p w14:paraId="3FC3B857" w14:textId="77777777" w:rsidR="001B1CD8" w:rsidRPr="00EC5AD9" w:rsidRDefault="001B1CD8" w:rsidP="001B1CD8">
      <w:r w:rsidRPr="00EC5AD9">
        <w:tab/>
      </w:r>
      <w:r w:rsidRPr="00EC5AD9">
        <w:tab/>
        <w:t>Nimi</w:t>
      </w:r>
      <w:r w:rsidRPr="00EC5AD9">
        <w:tab/>
        <w:t>……………………………...</w:t>
      </w:r>
    </w:p>
    <w:p w14:paraId="5283B659" w14:textId="77777777" w:rsidR="001B1CD8" w:rsidRPr="00EC5AD9" w:rsidRDefault="001B1CD8" w:rsidP="001B1CD8">
      <w:r w:rsidRPr="00EC5AD9">
        <w:tab/>
      </w:r>
      <w:r w:rsidRPr="00EC5AD9">
        <w:tab/>
        <w:t>E-post</w:t>
      </w:r>
      <w:r w:rsidRPr="00EC5AD9">
        <w:tab/>
        <w:t>……………………………….</w:t>
      </w:r>
    </w:p>
    <w:p w14:paraId="21F75EE2" w14:textId="77777777" w:rsidR="001B1CD8" w:rsidRPr="00EC5AD9" w:rsidRDefault="001B1CD8" w:rsidP="001B1CD8">
      <w:r w:rsidRPr="00EC5AD9">
        <w:tab/>
      </w:r>
      <w:r w:rsidRPr="00EC5AD9">
        <w:tab/>
        <w:t>Telefon……………………………….</w:t>
      </w:r>
    </w:p>
    <w:p w14:paraId="29FFC2D1" w14:textId="77777777" w:rsidR="001B1CD8" w:rsidRPr="00EC5AD9" w:rsidRDefault="001B1CD8" w:rsidP="001B1CD8"/>
    <w:p w14:paraId="53E1A70A" w14:textId="77777777" w:rsidR="001B1CD8" w:rsidRPr="00EC5AD9" w:rsidRDefault="001B1CD8" w:rsidP="001B1CD8"/>
    <w:p w14:paraId="12D1FFAE" w14:textId="77777777" w:rsidR="001B1CD8" w:rsidRPr="00EC5AD9" w:rsidRDefault="001B1CD8" w:rsidP="001B1CD8">
      <w:pPr>
        <w:tabs>
          <w:tab w:val="left" w:pos="3960"/>
        </w:tabs>
      </w:pPr>
      <w:r w:rsidRPr="00EC5AD9">
        <w:t>Seoses oma pakkumuse esitamisega kinnitame, et (korrigeerida teksti, et väited kehtiksid pakkuja kohta)</w:t>
      </w:r>
    </w:p>
    <w:p w14:paraId="1D4A6FE8" w14:textId="62890BBA" w:rsidR="001B1CD8" w:rsidRPr="00EC5AD9" w:rsidRDefault="001B1CD8" w:rsidP="001B1CD8">
      <w:pPr>
        <w:numPr>
          <w:ilvl w:val="0"/>
          <w:numId w:val="7"/>
        </w:numPr>
        <w:jc w:val="both"/>
      </w:pPr>
      <w:r w:rsidRPr="00EC5AD9">
        <w:t>Meil puudub 100 eurot ületav riiklike maksude võlg</w:t>
      </w:r>
      <w:r w:rsidR="007C6018" w:rsidRPr="00EC5AD9">
        <w:t>.</w:t>
      </w:r>
    </w:p>
    <w:p w14:paraId="3E93CCB7" w14:textId="07577E2C" w:rsidR="000D44B0" w:rsidRPr="00EC5AD9" w:rsidRDefault="000D44B0" w:rsidP="001B1CD8">
      <w:pPr>
        <w:numPr>
          <w:ilvl w:val="0"/>
          <w:numId w:val="7"/>
        </w:numPr>
        <w:jc w:val="both"/>
      </w:pPr>
      <w:r w:rsidRPr="00EC5AD9">
        <w:t>Meie 2024. majandusaasta käive oli ….. eurot.</w:t>
      </w:r>
    </w:p>
    <w:p w14:paraId="5EAEB2D9" w14:textId="77777777" w:rsidR="004A4D50" w:rsidRPr="00EC5AD9" w:rsidRDefault="004A4D50" w:rsidP="007C6018">
      <w:pPr>
        <w:numPr>
          <w:ilvl w:val="0"/>
          <w:numId w:val="7"/>
        </w:numPr>
        <w:jc w:val="both"/>
      </w:pPr>
      <w:r w:rsidRPr="00EC5AD9">
        <w:t>Meie tehniline ja kutsealane kvalifikatsioon on tõendatud:</w:t>
      </w:r>
    </w:p>
    <w:p w14:paraId="4BB3EBE0" w14:textId="59269905" w:rsidR="001B1CD8" w:rsidRPr="00EC5AD9" w:rsidRDefault="001B1CD8" w:rsidP="004A4D50">
      <w:pPr>
        <w:numPr>
          <w:ilvl w:val="1"/>
          <w:numId w:val="7"/>
        </w:numPr>
        <w:jc w:val="both"/>
      </w:pPr>
      <w:r w:rsidRPr="00EC5AD9">
        <w:t>Omame MTR-s registreeringut</w:t>
      </w:r>
      <w:r w:rsidR="007C6018" w:rsidRPr="00EC5AD9">
        <w:t>, mis annab õiguse</w:t>
      </w:r>
      <w:r w:rsidRPr="00EC5AD9">
        <w:t xml:space="preserve"> </w:t>
      </w:r>
      <w:r w:rsidR="00A770B3" w:rsidRPr="00EC5AD9">
        <w:t>elektritööde</w:t>
      </w:r>
      <w:r w:rsidR="00A4782E" w:rsidRPr="00EC5AD9">
        <w:t xml:space="preserve"> teostamiseks</w:t>
      </w:r>
      <w:r w:rsidR="00C76617" w:rsidRPr="00EC5AD9">
        <w:t xml:space="preserve">. </w:t>
      </w:r>
      <w:r w:rsidRPr="00EC5AD9">
        <w:t xml:space="preserve"> </w:t>
      </w:r>
      <w:r w:rsidR="008938EB" w:rsidRPr="00EC5AD9">
        <w:t>Lisatud link registrisse või d</w:t>
      </w:r>
      <w:r w:rsidRPr="00EC5AD9">
        <w:t>okumendi koopia.</w:t>
      </w:r>
    </w:p>
    <w:p w14:paraId="04D5A781" w14:textId="7467D785" w:rsidR="007C6018" w:rsidRPr="00EC5AD9" w:rsidRDefault="007C6018" w:rsidP="004A4D50">
      <w:pPr>
        <w:numPr>
          <w:ilvl w:val="1"/>
          <w:numId w:val="7"/>
        </w:numPr>
        <w:jc w:val="both"/>
      </w:pPr>
      <w:r w:rsidRPr="00EC5AD9">
        <w:t xml:space="preserve">Töid juhtival spetsialistil ………………….. </w:t>
      </w:r>
      <w:r w:rsidR="00A770B3" w:rsidRPr="00EC5AD9">
        <w:t xml:space="preserve">(ees- ja perekonnanimi, isikukood) </w:t>
      </w:r>
      <w:r w:rsidRPr="00EC5AD9">
        <w:t>on ehitusinseneri tase ……</w:t>
      </w:r>
      <w:r w:rsidR="00B17395" w:rsidRPr="00EC5AD9">
        <w:t>……………….</w:t>
      </w:r>
      <w:r w:rsidRPr="00EC5AD9">
        <w:t xml:space="preserve">  (dokumendi koopia lisatud)</w:t>
      </w:r>
      <w:r w:rsidR="004A4D50" w:rsidRPr="00EC5AD9">
        <w:t>.</w:t>
      </w:r>
    </w:p>
    <w:p w14:paraId="3CA9CFBC" w14:textId="0ABE8837" w:rsidR="004A4D50" w:rsidRPr="00F00EE3" w:rsidRDefault="004A4D50" w:rsidP="004A4D50">
      <w:pPr>
        <w:numPr>
          <w:ilvl w:val="1"/>
          <w:numId w:val="7"/>
        </w:numPr>
        <w:jc w:val="both"/>
      </w:pPr>
      <w:r w:rsidRPr="00EC5AD9">
        <w:t xml:space="preserve">Analoogse objektina esitame (objekti nimetus, tellija nimi, objekti rahaline maht, tööde teostamise aeg) ……………… </w:t>
      </w:r>
      <w:r w:rsidRPr="00F00EE3">
        <w:t>.</w:t>
      </w:r>
    </w:p>
    <w:p w14:paraId="724A0D3D" w14:textId="6FFEC54A" w:rsidR="001B1CD8" w:rsidRDefault="001B1CD8" w:rsidP="001B1CD8">
      <w:pPr>
        <w:numPr>
          <w:ilvl w:val="1"/>
          <w:numId w:val="7"/>
        </w:numPr>
        <w:jc w:val="both"/>
      </w:pPr>
      <w:r w:rsidRPr="00F00EE3">
        <w:t>Pakkumuse koostamisel ja esitamisel oleme arvestanud kõiki hankedokumendi tingimusi ja nõudeid</w:t>
      </w:r>
      <w:r w:rsidR="004A4D50" w:rsidRPr="00F00EE3">
        <w:t>, sh oleme tutvunud</w:t>
      </w:r>
      <w:r w:rsidR="00243389" w:rsidRPr="00F00EE3">
        <w:t xml:space="preserve"> </w:t>
      </w:r>
      <w:r w:rsidR="00287CC0">
        <w:t xml:space="preserve">ehitusprojektiga, </w:t>
      </w:r>
      <w:r w:rsidR="00243389" w:rsidRPr="00F00EE3">
        <w:t xml:space="preserve">objektiga </w:t>
      </w:r>
      <w:r w:rsidR="003E6C87">
        <w:t>kohapeal</w:t>
      </w:r>
      <w:r w:rsidR="00FE093C">
        <w:t xml:space="preserve"> </w:t>
      </w:r>
      <w:r w:rsidR="00243389" w:rsidRPr="00F00EE3">
        <w:t>ning sealsete töötingimustega, määranud tegemisele tulevate tööde koosseisu ja mahud, ning arvestanud nendega pakkumuse koostamisel.</w:t>
      </w:r>
      <w:r w:rsidR="004A4D50" w:rsidRPr="00F00EE3">
        <w:t xml:space="preserve"> </w:t>
      </w:r>
    </w:p>
    <w:p w14:paraId="38055E80" w14:textId="2132A32C" w:rsidR="001529A8" w:rsidRPr="00F00EE3" w:rsidRDefault="001529A8" w:rsidP="001B1CD8">
      <w:pPr>
        <w:numPr>
          <w:ilvl w:val="1"/>
          <w:numId w:val="7"/>
        </w:numPr>
        <w:jc w:val="both"/>
      </w:pPr>
      <w:r>
        <w:t xml:space="preserve">Anname </w:t>
      </w:r>
      <w:r w:rsidR="00FE093C">
        <w:t>rajatud valgustussüsteemile 36 kuulise garantii.</w:t>
      </w:r>
    </w:p>
    <w:p w14:paraId="48D8C76E" w14:textId="77777777" w:rsidR="001B1CD8" w:rsidRPr="00F00EE3" w:rsidRDefault="001B1CD8" w:rsidP="001B1CD8">
      <w:pPr>
        <w:tabs>
          <w:tab w:val="left" w:pos="3960"/>
        </w:tabs>
      </w:pPr>
    </w:p>
    <w:p w14:paraId="3F67A778" w14:textId="77777777" w:rsidR="001B1CD8" w:rsidRPr="00F00EE3" w:rsidRDefault="001B1CD8" w:rsidP="001B1CD8">
      <w:pPr>
        <w:tabs>
          <w:tab w:val="left" w:pos="3960"/>
        </w:tabs>
      </w:pPr>
    </w:p>
    <w:p w14:paraId="06907EA3" w14:textId="243860AB" w:rsidR="001B1CD8" w:rsidRDefault="001B1CD8" w:rsidP="001B1CD8">
      <w:pPr>
        <w:jc w:val="both"/>
        <w:rPr>
          <w:b/>
        </w:rPr>
      </w:pPr>
      <w:r w:rsidRPr="00F00EE3">
        <w:rPr>
          <w:b/>
        </w:rPr>
        <w:t>ESITAME OMAPOOLSE PAKKUMUSE</w:t>
      </w:r>
    </w:p>
    <w:p w14:paraId="21E14249" w14:textId="607C8420" w:rsidR="0079271E" w:rsidRDefault="0079271E" w:rsidP="001B1CD8">
      <w:pPr>
        <w:jc w:val="both"/>
      </w:pPr>
      <w:r w:rsidRPr="0079271E">
        <w:t>Summad KM-ta</w:t>
      </w:r>
    </w:p>
    <w:p w14:paraId="61B9A34A" w14:textId="29BA3B34" w:rsidR="003A0617" w:rsidRPr="00F00EE3" w:rsidRDefault="003A0617" w:rsidP="001B1CD8">
      <w:pPr>
        <w:jc w:val="both"/>
      </w:pPr>
    </w:p>
    <w:tbl>
      <w:tblPr>
        <w:tblStyle w:val="TableGrid"/>
        <w:tblW w:w="0" w:type="auto"/>
        <w:tblInd w:w="-5" w:type="dxa"/>
        <w:tblLook w:val="04A0" w:firstRow="1" w:lastRow="0" w:firstColumn="1" w:lastColumn="0" w:noHBand="0" w:noVBand="1"/>
      </w:tblPr>
      <w:tblGrid>
        <w:gridCol w:w="510"/>
        <w:gridCol w:w="2790"/>
        <w:gridCol w:w="2242"/>
        <w:gridCol w:w="2242"/>
        <w:gridCol w:w="1565"/>
      </w:tblGrid>
      <w:tr w:rsidR="00FE093C" w:rsidRPr="00F00EE3" w14:paraId="016F1F23" w14:textId="77777777" w:rsidTr="00FE093C">
        <w:tc>
          <w:tcPr>
            <w:tcW w:w="510" w:type="dxa"/>
          </w:tcPr>
          <w:p w14:paraId="3FD44432" w14:textId="78D4EAD7" w:rsidR="0079271E" w:rsidRPr="00F00EE3" w:rsidRDefault="0079271E" w:rsidP="00E53A5A">
            <w:pPr>
              <w:suppressAutoHyphens w:val="0"/>
              <w:autoSpaceDE w:val="0"/>
              <w:autoSpaceDN w:val="0"/>
              <w:adjustRightInd w:val="0"/>
              <w:rPr>
                <w:lang w:eastAsia="ja-JP"/>
              </w:rPr>
            </w:pPr>
            <w:r w:rsidRPr="00F00EE3">
              <w:rPr>
                <w:lang w:eastAsia="ja-JP"/>
              </w:rPr>
              <w:t>Jrk</w:t>
            </w:r>
          </w:p>
        </w:tc>
        <w:tc>
          <w:tcPr>
            <w:tcW w:w="2938" w:type="dxa"/>
          </w:tcPr>
          <w:p w14:paraId="58E738CC" w14:textId="5C96CA85" w:rsidR="0079271E" w:rsidRPr="00F00EE3" w:rsidRDefault="0079271E" w:rsidP="00E53A5A">
            <w:pPr>
              <w:suppressAutoHyphens w:val="0"/>
              <w:autoSpaceDE w:val="0"/>
              <w:autoSpaceDN w:val="0"/>
              <w:adjustRightInd w:val="0"/>
              <w:rPr>
                <w:lang w:eastAsia="ja-JP"/>
              </w:rPr>
            </w:pPr>
            <w:r w:rsidRPr="00F00EE3">
              <w:rPr>
                <w:lang w:eastAsia="ja-JP"/>
              </w:rPr>
              <w:t>Nimetus</w:t>
            </w:r>
          </w:p>
        </w:tc>
        <w:tc>
          <w:tcPr>
            <w:tcW w:w="1950" w:type="dxa"/>
          </w:tcPr>
          <w:p w14:paraId="397AC034" w14:textId="3D6600E9" w:rsidR="0079271E" w:rsidRPr="00F00EE3" w:rsidRDefault="0079271E" w:rsidP="00E53A5A">
            <w:pPr>
              <w:suppressAutoHyphens w:val="0"/>
              <w:autoSpaceDE w:val="0"/>
              <w:autoSpaceDN w:val="0"/>
              <w:adjustRightInd w:val="0"/>
              <w:ind w:left="360"/>
              <w:rPr>
                <w:lang w:eastAsia="ja-JP"/>
              </w:rPr>
            </w:pPr>
            <w:r>
              <w:rPr>
                <w:lang w:eastAsia="ja-JP"/>
              </w:rPr>
              <w:t xml:space="preserve">Tööde alustamine, </w:t>
            </w:r>
            <w:r w:rsidR="0036239D">
              <w:rPr>
                <w:lang w:eastAsia="ja-JP"/>
              </w:rPr>
              <w:t>kalendri</w:t>
            </w:r>
            <w:r>
              <w:rPr>
                <w:lang w:eastAsia="ja-JP"/>
              </w:rPr>
              <w:t>päeva</w:t>
            </w:r>
            <w:r w:rsidR="0036239D">
              <w:rPr>
                <w:lang w:eastAsia="ja-JP"/>
              </w:rPr>
              <w:t xml:space="preserve">des </w:t>
            </w:r>
            <w:r>
              <w:rPr>
                <w:lang w:eastAsia="ja-JP"/>
              </w:rPr>
              <w:t>eduka</w:t>
            </w:r>
            <w:r w:rsidR="001E64AF">
              <w:rPr>
                <w:lang w:eastAsia="ja-JP"/>
              </w:rPr>
              <w:t>k</w:t>
            </w:r>
            <w:r>
              <w:rPr>
                <w:lang w:eastAsia="ja-JP"/>
              </w:rPr>
              <w:t>s tunnistamisest</w:t>
            </w:r>
          </w:p>
        </w:tc>
        <w:tc>
          <w:tcPr>
            <w:tcW w:w="2242" w:type="dxa"/>
          </w:tcPr>
          <w:p w14:paraId="078F63A4" w14:textId="25C5799F" w:rsidR="0079271E" w:rsidRPr="00F00EE3" w:rsidRDefault="0079271E" w:rsidP="00E53A5A">
            <w:pPr>
              <w:suppressAutoHyphens w:val="0"/>
              <w:autoSpaceDE w:val="0"/>
              <w:autoSpaceDN w:val="0"/>
              <w:adjustRightInd w:val="0"/>
              <w:ind w:left="360"/>
              <w:rPr>
                <w:lang w:eastAsia="ja-JP"/>
              </w:rPr>
            </w:pPr>
            <w:r>
              <w:rPr>
                <w:lang w:eastAsia="ja-JP"/>
              </w:rPr>
              <w:t xml:space="preserve">Tööde kestvus </w:t>
            </w:r>
            <w:r w:rsidR="00FE093C">
              <w:rPr>
                <w:lang w:eastAsia="ja-JP"/>
              </w:rPr>
              <w:t>kalendripäevades</w:t>
            </w:r>
          </w:p>
        </w:tc>
        <w:tc>
          <w:tcPr>
            <w:tcW w:w="1709" w:type="dxa"/>
          </w:tcPr>
          <w:p w14:paraId="352C596B" w14:textId="4375DC5A" w:rsidR="0079271E" w:rsidRPr="00F00EE3" w:rsidRDefault="0079271E" w:rsidP="00E53A5A">
            <w:pPr>
              <w:suppressAutoHyphens w:val="0"/>
              <w:autoSpaceDE w:val="0"/>
              <w:autoSpaceDN w:val="0"/>
              <w:adjustRightInd w:val="0"/>
              <w:ind w:left="360"/>
              <w:rPr>
                <w:lang w:eastAsia="ja-JP"/>
              </w:rPr>
            </w:pPr>
            <w:r w:rsidRPr="00F00EE3">
              <w:rPr>
                <w:lang w:eastAsia="ja-JP"/>
              </w:rPr>
              <w:t xml:space="preserve">Summa, </w:t>
            </w:r>
            <w:r>
              <w:rPr>
                <w:lang w:eastAsia="ja-JP"/>
              </w:rPr>
              <w:t xml:space="preserve">KM-ta, </w:t>
            </w:r>
            <w:r w:rsidRPr="00F00EE3">
              <w:rPr>
                <w:lang w:eastAsia="ja-JP"/>
              </w:rPr>
              <w:t>€</w:t>
            </w:r>
          </w:p>
        </w:tc>
      </w:tr>
      <w:tr w:rsidR="00FE093C" w:rsidRPr="00F00EE3" w14:paraId="26074D06" w14:textId="77777777" w:rsidTr="00FE093C">
        <w:tc>
          <w:tcPr>
            <w:tcW w:w="510" w:type="dxa"/>
          </w:tcPr>
          <w:p w14:paraId="77FB5C65" w14:textId="65A7FDD3" w:rsidR="0079271E" w:rsidRPr="00F00EE3" w:rsidRDefault="0079271E" w:rsidP="00E53A5A">
            <w:pPr>
              <w:suppressAutoHyphens w:val="0"/>
              <w:autoSpaceDE w:val="0"/>
              <w:autoSpaceDN w:val="0"/>
              <w:adjustRightInd w:val="0"/>
              <w:rPr>
                <w:lang w:eastAsia="ja-JP"/>
              </w:rPr>
            </w:pPr>
            <w:r w:rsidRPr="00F00EE3">
              <w:rPr>
                <w:lang w:eastAsia="ja-JP"/>
              </w:rPr>
              <w:t>1</w:t>
            </w:r>
          </w:p>
        </w:tc>
        <w:tc>
          <w:tcPr>
            <w:tcW w:w="2938" w:type="dxa"/>
          </w:tcPr>
          <w:p w14:paraId="0114902C" w14:textId="0748F42E" w:rsidR="0079271E" w:rsidRPr="00F00EE3" w:rsidRDefault="00FE093C" w:rsidP="00E53A5A">
            <w:pPr>
              <w:suppressAutoHyphens w:val="0"/>
              <w:autoSpaceDE w:val="0"/>
              <w:autoSpaceDN w:val="0"/>
              <w:adjustRightInd w:val="0"/>
              <w:rPr>
                <w:lang w:eastAsia="ja-JP"/>
              </w:rPr>
            </w:pPr>
            <w:r>
              <w:t>Projekti</w:t>
            </w:r>
            <w:r w:rsidR="00245E60">
              <w:t xml:space="preserve">- ja hankedokumentide nõuete </w:t>
            </w:r>
            <w:r>
              <w:t xml:space="preserve">kohase töökorras tänavavalgustussüsteemi ehitamine </w:t>
            </w:r>
          </w:p>
        </w:tc>
        <w:tc>
          <w:tcPr>
            <w:tcW w:w="1950" w:type="dxa"/>
          </w:tcPr>
          <w:p w14:paraId="0CEB96AB" w14:textId="2A9F610E" w:rsidR="0079271E" w:rsidRPr="00F00EE3" w:rsidRDefault="0079271E" w:rsidP="00E53A5A">
            <w:pPr>
              <w:suppressAutoHyphens w:val="0"/>
              <w:autoSpaceDE w:val="0"/>
              <w:autoSpaceDN w:val="0"/>
              <w:adjustRightInd w:val="0"/>
              <w:ind w:left="360"/>
              <w:rPr>
                <w:lang w:eastAsia="ja-JP"/>
              </w:rPr>
            </w:pPr>
          </w:p>
        </w:tc>
        <w:tc>
          <w:tcPr>
            <w:tcW w:w="2242" w:type="dxa"/>
          </w:tcPr>
          <w:p w14:paraId="531EAFA9" w14:textId="77777777" w:rsidR="0079271E" w:rsidRPr="00F00EE3" w:rsidRDefault="0079271E" w:rsidP="00E53A5A">
            <w:pPr>
              <w:suppressAutoHyphens w:val="0"/>
              <w:autoSpaceDE w:val="0"/>
              <w:autoSpaceDN w:val="0"/>
              <w:adjustRightInd w:val="0"/>
              <w:ind w:left="360"/>
              <w:rPr>
                <w:lang w:eastAsia="ja-JP"/>
              </w:rPr>
            </w:pPr>
          </w:p>
        </w:tc>
        <w:tc>
          <w:tcPr>
            <w:tcW w:w="1709" w:type="dxa"/>
          </w:tcPr>
          <w:p w14:paraId="44FFD7D1" w14:textId="6DBC579D" w:rsidR="0079271E" w:rsidRPr="00F00EE3" w:rsidRDefault="0079271E" w:rsidP="00E53A5A">
            <w:pPr>
              <w:suppressAutoHyphens w:val="0"/>
              <w:autoSpaceDE w:val="0"/>
              <w:autoSpaceDN w:val="0"/>
              <w:adjustRightInd w:val="0"/>
              <w:ind w:left="360"/>
              <w:rPr>
                <w:lang w:eastAsia="ja-JP"/>
              </w:rPr>
            </w:pPr>
          </w:p>
        </w:tc>
      </w:tr>
      <w:tr w:rsidR="00FE093C" w:rsidRPr="00F00EE3" w14:paraId="70F04F5D" w14:textId="77777777" w:rsidTr="00FE093C">
        <w:tc>
          <w:tcPr>
            <w:tcW w:w="510" w:type="dxa"/>
          </w:tcPr>
          <w:p w14:paraId="75D0F926" w14:textId="33039886" w:rsidR="001E64AF" w:rsidRPr="00F00EE3" w:rsidRDefault="001E64AF" w:rsidP="001E64AF">
            <w:pPr>
              <w:suppressAutoHyphens w:val="0"/>
              <w:autoSpaceDE w:val="0"/>
              <w:autoSpaceDN w:val="0"/>
              <w:adjustRightInd w:val="0"/>
              <w:rPr>
                <w:lang w:eastAsia="ja-JP"/>
              </w:rPr>
            </w:pPr>
          </w:p>
        </w:tc>
        <w:tc>
          <w:tcPr>
            <w:tcW w:w="2938" w:type="dxa"/>
          </w:tcPr>
          <w:p w14:paraId="1F0A3D36" w14:textId="7F002540" w:rsidR="00FE093C" w:rsidRPr="00F00EE3" w:rsidRDefault="00FE093C" w:rsidP="001E64AF">
            <w:pPr>
              <w:suppressAutoHyphens w:val="0"/>
              <w:autoSpaceDE w:val="0"/>
              <w:autoSpaceDN w:val="0"/>
              <w:adjustRightInd w:val="0"/>
              <w:rPr>
                <w:lang w:eastAsia="ja-JP"/>
              </w:rPr>
            </w:pPr>
            <w:r>
              <w:rPr>
                <w:lang w:eastAsia="ja-JP"/>
              </w:rPr>
              <w:t>Käibemaks</w:t>
            </w:r>
          </w:p>
        </w:tc>
        <w:tc>
          <w:tcPr>
            <w:tcW w:w="1950" w:type="dxa"/>
          </w:tcPr>
          <w:p w14:paraId="66DAFCA2" w14:textId="3F5B1F11" w:rsidR="001E64AF" w:rsidRPr="00F00EE3" w:rsidRDefault="001E64AF" w:rsidP="001E64AF">
            <w:pPr>
              <w:suppressAutoHyphens w:val="0"/>
              <w:autoSpaceDE w:val="0"/>
              <w:autoSpaceDN w:val="0"/>
              <w:adjustRightInd w:val="0"/>
              <w:ind w:left="360"/>
              <w:rPr>
                <w:lang w:eastAsia="ja-JP"/>
              </w:rPr>
            </w:pPr>
          </w:p>
        </w:tc>
        <w:tc>
          <w:tcPr>
            <w:tcW w:w="2242" w:type="dxa"/>
          </w:tcPr>
          <w:p w14:paraId="71CB8553" w14:textId="77777777" w:rsidR="001E64AF" w:rsidRPr="00F00EE3" w:rsidRDefault="001E64AF" w:rsidP="001E64AF">
            <w:pPr>
              <w:suppressAutoHyphens w:val="0"/>
              <w:autoSpaceDE w:val="0"/>
              <w:autoSpaceDN w:val="0"/>
              <w:adjustRightInd w:val="0"/>
              <w:ind w:left="360"/>
              <w:rPr>
                <w:lang w:eastAsia="ja-JP"/>
              </w:rPr>
            </w:pPr>
          </w:p>
        </w:tc>
        <w:tc>
          <w:tcPr>
            <w:tcW w:w="1709" w:type="dxa"/>
          </w:tcPr>
          <w:p w14:paraId="7A1ACB25" w14:textId="3A4EC1A7" w:rsidR="001E64AF" w:rsidRPr="00F00EE3" w:rsidRDefault="001E64AF" w:rsidP="001E64AF">
            <w:pPr>
              <w:suppressAutoHyphens w:val="0"/>
              <w:autoSpaceDE w:val="0"/>
              <w:autoSpaceDN w:val="0"/>
              <w:adjustRightInd w:val="0"/>
              <w:ind w:left="360"/>
              <w:rPr>
                <w:lang w:eastAsia="ja-JP"/>
              </w:rPr>
            </w:pPr>
          </w:p>
        </w:tc>
      </w:tr>
      <w:tr w:rsidR="00FE093C" w:rsidRPr="00F00EE3" w14:paraId="42F6B3EC" w14:textId="77777777" w:rsidTr="00FE093C">
        <w:tc>
          <w:tcPr>
            <w:tcW w:w="510" w:type="dxa"/>
          </w:tcPr>
          <w:p w14:paraId="54E3110B" w14:textId="77777777" w:rsidR="001E64AF" w:rsidRPr="00F00EE3" w:rsidRDefault="001E64AF" w:rsidP="001E64AF">
            <w:pPr>
              <w:suppressAutoHyphens w:val="0"/>
              <w:autoSpaceDE w:val="0"/>
              <w:autoSpaceDN w:val="0"/>
              <w:adjustRightInd w:val="0"/>
              <w:rPr>
                <w:lang w:eastAsia="ja-JP"/>
              </w:rPr>
            </w:pPr>
          </w:p>
        </w:tc>
        <w:tc>
          <w:tcPr>
            <w:tcW w:w="2938" w:type="dxa"/>
          </w:tcPr>
          <w:p w14:paraId="2611A532" w14:textId="06814F7E" w:rsidR="001E64AF" w:rsidRPr="00F00EE3" w:rsidRDefault="00FE093C" w:rsidP="001E64AF">
            <w:pPr>
              <w:suppressAutoHyphens w:val="0"/>
              <w:autoSpaceDE w:val="0"/>
              <w:autoSpaceDN w:val="0"/>
              <w:adjustRightInd w:val="0"/>
              <w:rPr>
                <w:lang w:eastAsia="ja-JP"/>
              </w:rPr>
            </w:pPr>
            <w:r>
              <w:t>Kokku käibemaksuga</w:t>
            </w:r>
          </w:p>
        </w:tc>
        <w:tc>
          <w:tcPr>
            <w:tcW w:w="1950" w:type="dxa"/>
          </w:tcPr>
          <w:p w14:paraId="0DFB2C9C" w14:textId="77777777" w:rsidR="001E64AF" w:rsidRPr="00F00EE3" w:rsidRDefault="001E64AF" w:rsidP="001E64AF">
            <w:pPr>
              <w:suppressAutoHyphens w:val="0"/>
              <w:autoSpaceDE w:val="0"/>
              <w:autoSpaceDN w:val="0"/>
              <w:adjustRightInd w:val="0"/>
              <w:ind w:left="360"/>
              <w:rPr>
                <w:lang w:eastAsia="ja-JP"/>
              </w:rPr>
            </w:pPr>
          </w:p>
        </w:tc>
        <w:tc>
          <w:tcPr>
            <w:tcW w:w="2242" w:type="dxa"/>
          </w:tcPr>
          <w:p w14:paraId="77EB0E0C" w14:textId="77777777" w:rsidR="001E64AF" w:rsidRPr="00F00EE3" w:rsidRDefault="001E64AF" w:rsidP="001E64AF">
            <w:pPr>
              <w:suppressAutoHyphens w:val="0"/>
              <w:autoSpaceDE w:val="0"/>
              <w:autoSpaceDN w:val="0"/>
              <w:adjustRightInd w:val="0"/>
              <w:ind w:left="360"/>
              <w:rPr>
                <w:lang w:eastAsia="ja-JP"/>
              </w:rPr>
            </w:pPr>
          </w:p>
        </w:tc>
        <w:tc>
          <w:tcPr>
            <w:tcW w:w="1709" w:type="dxa"/>
          </w:tcPr>
          <w:p w14:paraId="0F86D71A" w14:textId="77777777" w:rsidR="001E64AF" w:rsidRPr="00F00EE3" w:rsidRDefault="001E64AF" w:rsidP="001E64AF">
            <w:pPr>
              <w:suppressAutoHyphens w:val="0"/>
              <w:autoSpaceDE w:val="0"/>
              <w:autoSpaceDN w:val="0"/>
              <w:adjustRightInd w:val="0"/>
              <w:ind w:left="360"/>
              <w:rPr>
                <w:lang w:eastAsia="ja-JP"/>
              </w:rPr>
            </w:pPr>
          </w:p>
        </w:tc>
      </w:tr>
    </w:tbl>
    <w:p w14:paraId="1BABF0FB" w14:textId="10D5752A" w:rsidR="001B1CD8" w:rsidRDefault="001B1CD8" w:rsidP="001B1CD8">
      <w:pPr>
        <w:jc w:val="both"/>
      </w:pPr>
    </w:p>
    <w:p w14:paraId="67FC8726" w14:textId="5DD9B42A" w:rsidR="00FE093C" w:rsidRDefault="00FE093C" w:rsidP="001B1CD8">
      <w:pPr>
        <w:jc w:val="both"/>
      </w:pPr>
    </w:p>
    <w:p w14:paraId="03E196AA" w14:textId="2E1BDBA2" w:rsidR="00FE093C" w:rsidRDefault="00FE093C" w:rsidP="001B1CD8">
      <w:pPr>
        <w:jc w:val="both"/>
      </w:pPr>
      <w:r>
        <w:t xml:space="preserve">Ühikuhinnad lepingu maksumuse ümberarvutamiseks võimalikul mahtude </w:t>
      </w:r>
      <w:r w:rsidR="00B17395">
        <w:t>muutumisel:</w:t>
      </w:r>
    </w:p>
    <w:tbl>
      <w:tblPr>
        <w:tblStyle w:val="TableGrid"/>
        <w:tblW w:w="8641" w:type="dxa"/>
        <w:tblLook w:val="04A0" w:firstRow="1" w:lastRow="0" w:firstColumn="1" w:lastColumn="0" w:noHBand="0" w:noVBand="1"/>
      </w:tblPr>
      <w:tblGrid>
        <w:gridCol w:w="4932"/>
        <w:gridCol w:w="1163"/>
        <w:gridCol w:w="1271"/>
        <w:gridCol w:w="1275"/>
      </w:tblGrid>
      <w:tr w:rsidR="00B17395" w14:paraId="3A582316" w14:textId="77777777" w:rsidTr="00B17395">
        <w:tc>
          <w:tcPr>
            <w:tcW w:w="4957" w:type="dxa"/>
          </w:tcPr>
          <w:p w14:paraId="121C129E" w14:textId="47047C54" w:rsidR="00B17395" w:rsidRDefault="00B17395" w:rsidP="001B1CD8">
            <w:pPr>
              <w:jc w:val="both"/>
            </w:pPr>
            <w:r>
              <w:t>Nimetus</w:t>
            </w:r>
          </w:p>
        </w:tc>
        <w:tc>
          <w:tcPr>
            <w:tcW w:w="1134" w:type="dxa"/>
          </w:tcPr>
          <w:p w14:paraId="5A02FF41" w14:textId="429E38EC" w:rsidR="00B17395" w:rsidRDefault="00B17395" w:rsidP="001B1CD8">
            <w:pPr>
              <w:jc w:val="both"/>
            </w:pPr>
            <w:r>
              <w:t>Mõõtühik</w:t>
            </w:r>
          </w:p>
        </w:tc>
        <w:tc>
          <w:tcPr>
            <w:tcW w:w="1275" w:type="dxa"/>
          </w:tcPr>
          <w:p w14:paraId="56EBA2EA" w14:textId="0FC04BA9" w:rsidR="00B17395" w:rsidRDefault="00B17395" w:rsidP="001B1CD8">
            <w:pPr>
              <w:jc w:val="both"/>
            </w:pPr>
            <w:r>
              <w:t>Kogus</w:t>
            </w:r>
          </w:p>
        </w:tc>
        <w:tc>
          <w:tcPr>
            <w:tcW w:w="1275" w:type="dxa"/>
          </w:tcPr>
          <w:p w14:paraId="400758E0" w14:textId="07C34C64" w:rsidR="00B17395" w:rsidRDefault="002C703F" w:rsidP="001B1CD8">
            <w:pPr>
              <w:jc w:val="both"/>
            </w:pPr>
            <w:r>
              <w:t>Maksumus</w:t>
            </w:r>
            <w:r w:rsidR="00B17395">
              <w:t xml:space="preserve"> KM-ta, €</w:t>
            </w:r>
          </w:p>
        </w:tc>
      </w:tr>
      <w:tr w:rsidR="00B17395" w14:paraId="129EFEBA" w14:textId="77777777" w:rsidTr="00B17395">
        <w:tc>
          <w:tcPr>
            <w:tcW w:w="4957" w:type="dxa"/>
          </w:tcPr>
          <w:p w14:paraId="6246C84D" w14:textId="0829D381" w:rsidR="00B17395" w:rsidRDefault="00417CBD" w:rsidP="001B1CD8">
            <w:pPr>
              <w:jc w:val="both"/>
            </w:pPr>
            <w:r>
              <w:t>Ühe valgustiga v</w:t>
            </w:r>
            <w:r w:rsidR="00B17395">
              <w:t>algus</w:t>
            </w:r>
            <w:r>
              <w:t>tus</w:t>
            </w:r>
            <w:r w:rsidR="00B17395">
              <w:t>punkti maksumus, komplekteeritud valgustiga, valgusti kaitseaparatuuriga, valgustimastiga</w:t>
            </w:r>
            <w:r w:rsidR="001C70D5">
              <w:t xml:space="preserve">, </w:t>
            </w:r>
            <w:r>
              <w:t xml:space="preserve">konsooliga, </w:t>
            </w:r>
            <w:r w:rsidR="001C70D5">
              <w:t>jalandiga</w:t>
            </w:r>
          </w:p>
        </w:tc>
        <w:tc>
          <w:tcPr>
            <w:tcW w:w="1134" w:type="dxa"/>
          </w:tcPr>
          <w:p w14:paraId="507F0C7C" w14:textId="46187DE2" w:rsidR="00B17395" w:rsidRDefault="00B17395" w:rsidP="001B1CD8">
            <w:pPr>
              <w:jc w:val="both"/>
            </w:pPr>
            <w:r>
              <w:t>kompl</w:t>
            </w:r>
          </w:p>
        </w:tc>
        <w:tc>
          <w:tcPr>
            <w:tcW w:w="1275" w:type="dxa"/>
          </w:tcPr>
          <w:p w14:paraId="327A9D80" w14:textId="34A22643" w:rsidR="00B17395" w:rsidRDefault="00B17395" w:rsidP="001B1CD8">
            <w:pPr>
              <w:jc w:val="both"/>
            </w:pPr>
            <w:r>
              <w:t>1</w:t>
            </w:r>
          </w:p>
        </w:tc>
        <w:tc>
          <w:tcPr>
            <w:tcW w:w="1275" w:type="dxa"/>
          </w:tcPr>
          <w:p w14:paraId="350EDB12" w14:textId="548FFA1A" w:rsidR="00B17395" w:rsidRDefault="00B17395" w:rsidP="001B1CD8">
            <w:pPr>
              <w:jc w:val="both"/>
            </w:pPr>
          </w:p>
        </w:tc>
      </w:tr>
      <w:tr w:rsidR="00417CBD" w14:paraId="5FDC0A2A" w14:textId="77777777" w:rsidTr="00B17395">
        <w:tc>
          <w:tcPr>
            <w:tcW w:w="4957" w:type="dxa"/>
          </w:tcPr>
          <w:p w14:paraId="0B355EF2" w14:textId="03F56AD1" w:rsidR="00417CBD" w:rsidRDefault="00417CBD" w:rsidP="001B1CD8">
            <w:pPr>
              <w:jc w:val="both"/>
            </w:pPr>
            <w:r>
              <w:t>Kahe valgustiga valgustuspunkti maksumus, komplekteeritud valgustitega, valgustite kaitseaparatuuriga, valgustimastiga, konsoolidega, jalandiga</w:t>
            </w:r>
          </w:p>
        </w:tc>
        <w:tc>
          <w:tcPr>
            <w:tcW w:w="1134" w:type="dxa"/>
          </w:tcPr>
          <w:p w14:paraId="1988336C" w14:textId="457F031C" w:rsidR="00417CBD" w:rsidRDefault="00417CBD" w:rsidP="001B1CD8">
            <w:pPr>
              <w:jc w:val="both"/>
            </w:pPr>
            <w:r>
              <w:t>kompl</w:t>
            </w:r>
          </w:p>
        </w:tc>
        <w:tc>
          <w:tcPr>
            <w:tcW w:w="1275" w:type="dxa"/>
          </w:tcPr>
          <w:p w14:paraId="192970FB" w14:textId="34A71659" w:rsidR="00417CBD" w:rsidRDefault="00417CBD" w:rsidP="001B1CD8">
            <w:pPr>
              <w:jc w:val="both"/>
            </w:pPr>
            <w:r>
              <w:t>1</w:t>
            </w:r>
          </w:p>
        </w:tc>
        <w:tc>
          <w:tcPr>
            <w:tcW w:w="1275" w:type="dxa"/>
          </w:tcPr>
          <w:p w14:paraId="65E0103E" w14:textId="77777777" w:rsidR="00417CBD" w:rsidRDefault="00417CBD" w:rsidP="001B1CD8">
            <w:pPr>
              <w:jc w:val="both"/>
            </w:pPr>
          </w:p>
        </w:tc>
      </w:tr>
      <w:tr w:rsidR="00B17395" w14:paraId="3C684335" w14:textId="77777777" w:rsidTr="00B17395">
        <w:tc>
          <w:tcPr>
            <w:tcW w:w="4957" w:type="dxa"/>
          </w:tcPr>
          <w:p w14:paraId="789EF0F2" w14:textId="0F167E17" w:rsidR="00B17395" w:rsidRDefault="001C70D5" w:rsidP="001B1CD8">
            <w:pPr>
              <w:jc w:val="both"/>
            </w:pPr>
            <w:r>
              <w:t>Maakaabli paigaldamine kaevikus haljasalal, koos haljastuse taastamisega</w:t>
            </w:r>
          </w:p>
        </w:tc>
        <w:tc>
          <w:tcPr>
            <w:tcW w:w="1134" w:type="dxa"/>
          </w:tcPr>
          <w:p w14:paraId="048E69C8" w14:textId="220544FC" w:rsidR="00B17395" w:rsidRDefault="001C70D5" w:rsidP="001B1CD8">
            <w:pPr>
              <w:jc w:val="both"/>
            </w:pPr>
            <w:r>
              <w:t>m</w:t>
            </w:r>
          </w:p>
        </w:tc>
        <w:tc>
          <w:tcPr>
            <w:tcW w:w="1275" w:type="dxa"/>
          </w:tcPr>
          <w:p w14:paraId="04E26B85" w14:textId="3F3449D2" w:rsidR="00B17395" w:rsidRDefault="001C70D5" w:rsidP="001B1CD8">
            <w:pPr>
              <w:jc w:val="both"/>
            </w:pPr>
            <w:r>
              <w:t>1</w:t>
            </w:r>
          </w:p>
        </w:tc>
        <w:tc>
          <w:tcPr>
            <w:tcW w:w="1275" w:type="dxa"/>
          </w:tcPr>
          <w:p w14:paraId="667CC67D" w14:textId="58D52B13" w:rsidR="00B17395" w:rsidRDefault="00B17395" w:rsidP="001B1CD8">
            <w:pPr>
              <w:jc w:val="both"/>
            </w:pPr>
          </w:p>
        </w:tc>
      </w:tr>
      <w:tr w:rsidR="001C70D5" w14:paraId="16D1C84C" w14:textId="77777777" w:rsidTr="00B17395">
        <w:tc>
          <w:tcPr>
            <w:tcW w:w="4957" w:type="dxa"/>
          </w:tcPr>
          <w:p w14:paraId="1675FD52" w14:textId="75E42DF8" w:rsidR="001C70D5" w:rsidRDefault="001C70D5" w:rsidP="001B1CD8">
            <w:pPr>
              <w:jc w:val="both"/>
            </w:pPr>
            <w:r>
              <w:t>Maakaabli paigaldamine kaevikus kõvakattega teede, platside alla, koos katte taastamisega</w:t>
            </w:r>
          </w:p>
        </w:tc>
        <w:tc>
          <w:tcPr>
            <w:tcW w:w="1134" w:type="dxa"/>
          </w:tcPr>
          <w:p w14:paraId="4783E54A" w14:textId="4DC4671F" w:rsidR="001C70D5" w:rsidRDefault="001C70D5" w:rsidP="001B1CD8">
            <w:pPr>
              <w:jc w:val="both"/>
            </w:pPr>
            <w:r>
              <w:t>m</w:t>
            </w:r>
          </w:p>
        </w:tc>
        <w:tc>
          <w:tcPr>
            <w:tcW w:w="1275" w:type="dxa"/>
          </w:tcPr>
          <w:p w14:paraId="2A00320F" w14:textId="02B4FCFD" w:rsidR="001C70D5" w:rsidRDefault="001C70D5" w:rsidP="001B1CD8">
            <w:pPr>
              <w:jc w:val="both"/>
            </w:pPr>
            <w:r>
              <w:t>1</w:t>
            </w:r>
          </w:p>
        </w:tc>
        <w:tc>
          <w:tcPr>
            <w:tcW w:w="1275" w:type="dxa"/>
          </w:tcPr>
          <w:p w14:paraId="648D2BAF" w14:textId="77777777" w:rsidR="001C70D5" w:rsidRDefault="001C70D5" w:rsidP="001B1CD8">
            <w:pPr>
              <w:jc w:val="both"/>
            </w:pPr>
          </w:p>
        </w:tc>
      </w:tr>
      <w:tr w:rsidR="00B17395" w14:paraId="4D36427E" w14:textId="77777777" w:rsidTr="00B17395">
        <w:tc>
          <w:tcPr>
            <w:tcW w:w="4957" w:type="dxa"/>
          </w:tcPr>
          <w:p w14:paraId="06E72C96" w14:textId="5C92A9C3" w:rsidR="00B17395" w:rsidRDefault="001C70D5" w:rsidP="001B1CD8">
            <w:pPr>
              <w:jc w:val="both"/>
            </w:pPr>
            <w:r>
              <w:t>Maakaabli paigaldamine kinnisel meetodil, koos sisenemis- ja väljumiskohtade taastamisega</w:t>
            </w:r>
          </w:p>
        </w:tc>
        <w:tc>
          <w:tcPr>
            <w:tcW w:w="1134" w:type="dxa"/>
          </w:tcPr>
          <w:p w14:paraId="6DA63248" w14:textId="0187773C" w:rsidR="00B17395" w:rsidRDefault="001C70D5" w:rsidP="001B1CD8">
            <w:pPr>
              <w:jc w:val="both"/>
            </w:pPr>
            <w:r>
              <w:t>m</w:t>
            </w:r>
          </w:p>
        </w:tc>
        <w:tc>
          <w:tcPr>
            <w:tcW w:w="1275" w:type="dxa"/>
          </w:tcPr>
          <w:p w14:paraId="7AE0C39E" w14:textId="44F5E0A9" w:rsidR="00B17395" w:rsidRDefault="001C70D5" w:rsidP="001B1CD8">
            <w:pPr>
              <w:jc w:val="both"/>
            </w:pPr>
            <w:r>
              <w:t>1</w:t>
            </w:r>
          </w:p>
        </w:tc>
        <w:tc>
          <w:tcPr>
            <w:tcW w:w="1275" w:type="dxa"/>
          </w:tcPr>
          <w:p w14:paraId="1BE3F26A" w14:textId="749B0A23" w:rsidR="00B17395" w:rsidRDefault="00B17395" w:rsidP="001B1CD8">
            <w:pPr>
              <w:jc w:val="both"/>
            </w:pPr>
          </w:p>
        </w:tc>
      </w:tr>
      <w:tr w:rsidR="002C703F" w14:paraId="5249B164" w14:textId="77777777" w:rsidTr="00B17395">
        <w:tc>
          <w:tcPr>
            <w:tcW w:w="4957" w:type="dxa"/>
          </w:tcPr>
          <w:p w14:paraId="362FE675" w14:textId="2C68F2B0" w:rsidR="002C703F" w:rsidRDefault="002C703F" w:rsidP="001B1CD8">
            <w:pPr>
              <w:jc w:val="both"/>
            </w:pPr>
            <w:r>
              <w:t>Pakkumuse maksumuse muutus</w:t>
            </w:r>
            <w:r w:rsidR="00902305">
              <w:t xml:space="preserve"> (+/-)</w:t>
            </w:r>
            <w:r>
              <w:t>, kui geodeetilise punkti 644 asukoht ei dikteeri kaablitrassi viimist ümber punkti ja trassi õgvendatakse</w:t>
            </w:r>
            <w:r w:rsidR="00E245A7">
              <w:t xml:space="preserve"> sirgeks.</w:t>
            </w:r>
          </w:p>
        </w:tc>
        <w:tc>
          <w:tcPr>
            <w:tcW w:w="1134" w:type="dxa"/>
          </w:tcPr>
          <w:p w14:paraId="66A8F7C2" w14:textId="390276E8" w:rsidR="002C703F" w:rsidRDefault="002C703F" w:rsidP="001B1CD8">
            <w:pPr>
              <w:jc w:val="both"/>
            </w:pPr>
            <w:r>
              <w:t>töö</w:t>
            </w:r>
          </w:p>
        </w:tc>
        <w:tc>
          <w:tcPr>
            <w:tcW w:w="1275" w:type="dxa"/>
          </w:tcPr>
          <w:p w14:paraId="7B35C4D6" w14:textId="2E98681E" w:rsidR="002C703F" w:rsidRDefault="002C703F" w:rsidP="001B1CD8">
            <w:pPr>
              <w:jc w:val="both"/>
            </w:pPr>
            <w:r>
              <w:t>1</w:t>
            </w:r>
          </w:p>
        </w:tc>
        <w:tc>
          <w:tcPr>
            <w:tcW w:w="1275" w:type="dxa"/>
          </w:tcPr>
          <w:p w14:paraId="58CD2D24" w14:textId="77777777" w:rsidR="002C703F" w:rsidRDefault="002C703F" w:rsidP="001B1CD8">
            <w:pPr>
              <w:jc w:val="both"/>
            </w:pPr>
          </w:p>
        </w:tc>
      </w:tr>
      <w:tr w:rsidR="00902305" w14:paraId="620D2EAF" w14:textId="77777777" w:rsidTr="00B17395">
        <w:tc>
          <w:tcPr>
            <w:tcW w:w="4957" w:type="dxa"/>
          </w:tcPr>
          <w:p w14:paraId="2A769327" w14:textId="2AC3704E" w:rsidR="00902305" w:rsidRDefault="00902305" w:rsidP="001B1CD8">
            <w:pPr>
              <w:jc w:val="both"/>
            </w:pPr>
            <w:r>
              <w:t>Pakkumuse maksumuse muutus (+/-), kui valgustite, postide ja konsoolide värvus on standar</w:t>
            </w:r>
            <w:r w:rsidR="000E54AA">
              <w:t>d</w:t>
            </w:r>
            <w:r>
              <w:t>ne (tsingitud)</w:t>
            </w:r>
          </w:p>
        </w:tc>
        <w:tc>
          <w:tcPr>
            <w:tcW w:w="1134" w:type="dxa"/>
          </w:tcPr>
          <w:p w14:paraId="21F80F6B" w14:textId="032FD250" w:rsidR="00902305" w:rsidRDefault="00902305" w:rsidP="001B1CD8">
            <w:pPr>
              <w:jc w:val="both"/>
            </w:pPr>
            <w:r>
              <w:t>töö</w:t>
            </w:r>
          </w:p>
        </w:tc>
        <w:tc>
          <w:tcPr>
            <w:tcW w:w="1275" w:type="dxa"/>
          </w:tcPr>
          <w:p w14:paraId="447443F4" w14:textId="5CA3E7F4" w:rsidR="00902305" w:rsidRDefault="00902305" w:rsidP="001B1CD8">
            <w:pPr>
              <w:jc w:val="both"/>
            </w:pPr>
            <w:r>
              <w:t>1</w:t>
            </w:r>
          </w:p>
        </w:tc>
        <w:tc>
          <w:tcPr>
            <w:tcW w:w="1275" w:type="dxa"/>
          </w:tcPr>
          <w:p w14:paraId="3B5FB771" w14:textId="77777777" w:rsidR="00902305" w:rsidRDefault="00902305" w:rsidP="001B1CD8">
            <w:pPr>
              <w:jc w:val="both"/>
            </w:pPr>
          </w:p>
        </w:tc>
      </w:tr>
    </w:tbl>
    <w:p w14:paraId="7DC58EDE" w14:textId="1F06E39F" w:rsidR="00B17395" w:rsidRDefault="00B17395" w:rsidP="001B1CD8">
      <w:pPr>
        <w:jc w:val="both"/>
      </w:pPr>
    </w:p>
    <w:p w14:paraId="6656FFBC" w14:textId="77777777" w:rsidR="00B17395" w:rsidRDefault="00B17395" w:rsidP="001B1CD8">
      <w:pPr>
        <w:jc w:val="both"/>
      </w:pPr>
    </w:p>
    <w:p w14:paraId="01A422CB" w14:textId="78F331AD" w:rsidR="0079271E" w:rsidRPr="00F00EE3" w:rsidRDefault="000E54AA" w:rsidP="001B1CD8">
      <w:pPr>
        <w:jc w:val="both"/>
      </w:pPr>
      <w:r>
        <w:t>Tööde kestvus kalendripäevades, kui kasutatakse standardsetes värvides maste, mastiosi, valgusteid ……………….. kalendripäeva.</w:t>
      </w:r>
      <w:bookmarkStart w:id="4" w:name="_GoBack"/>
      <w:bookmarkEnd w:id="4"/>
    </w:p>
    <w:p w14:paraId="5C6D879E" w14:textId="77777777" w:rsidR="001B1CD8" w:rsidRPr="00F00EE3" w:rsidRDefault="001B1CD8" w:rsidP="001B1CD8">
      <w:pPr>
        <w:jc w:val="both"/>
      </w:pPr>
    </w:p>
    <w:p w14:paraId="0EA3F695" w14:textId="2980E3F9" w:rsidR="001B1CD8" w:rsidRPr="00F00EE3" w:rsidRDefault="001B1CD8" w:rsidP="00EC5AD9">
      <w:pPr>
        <w:jc w:val="both"/>
      </w:pPr>
      <w:r w:rsidRPr="00F00EE3">
        <w:t xml:space="preserve">Meie pakkumus on jõus </w:t>
      </w:r>
      <w:r w:rsidR="00CB009B">
        <w:t>9</w:t>
      </w:r>
      <w:r w:rsidRPr="00F00EE3">
        <w:t>0 päeva alates pakkumuste esitamise lõpptähtajast.</w:t>
      </w:r>
    </w:p>
    <w:p w14:paraId="43375AF7" w14:textId="77777777" w:rsidR="001B1CD8" w:rsidRPr="00F00EE3" w:rsidRDefault="001B1CD8" w:rsidP="001B1CD8">
      <w:pPr>
        <w:jc w:val="both"/>
      </w:pPr>
    </w:p>
    <w:p w14:paraId="3DA98F58" w14:textId="77777777" w:rsidR="001B1CD8" w:rsidRPr="00F00EE3" w:rsidRDefault="001B1CD8" w:rsidP="001B1CD8">
      <w:pPr>
        <w:pStyle w:val="BodyText"/>
        <w:rPr>
          <w:rFonts w:ascii="Times New Roman" w:hAnsi="Times New Roman" w:cs="Times New Roman"/>
        </w:rPr>
      </w:pPr>
    </w:p>
    <w:p w14:paraId="2CED061A" w14:textId="77777777" w:rsidR="001B1CD8" w:rsidRPr="00F00EE3" w:rsidRDefault="001B1CD8" w:rsidP="001B1CD8">
      <w:pPr>
        <w:pStyle w:val="BodyText"/>
        <w:rPr>
          <w:rFonts w:ascii="Times New Roman" w:hAnsi="Times New Roman" w:cs="Times New Roman"/>
        </w:rPr>
      </w:pPr>
      <w:r w:rsidRPr="00F00EE3">
        <w:rPr>
          <w:rFonts w:ascii="Times New Roman" w:hAnsi="Times New Roman" w:cs="Times New Roman"/>
        </w:rPr>
        <w:t>Pakkuja seadusliku või volitatud esindaja nimi:</w:t>
      </w:r>
      <w:r w:rsidRPr="00F00EE3">
        <w:rPr>
          <w:rFonts w:ascii="Times New Roman" w:hAnsi="Times New Roman" w:cs="Times New Roman"/>
        </w:rPr>
        <w:tab/>
        <w:t>………………………………….</w:t>
      </w:r>
    </w:p>
    <w:p w14:paraId="1C0FD2D6" w14:textId="77777777" w:rsidR="001B1CD8" w:rsidRPr="00F00EE3" w:rsidRDefault="001B1CD8" w:rsidP="001B1CD8">
      <w:pPr>
        <w:pStyle w:val="BodyText"/>
        <w:ind w:left="2124"/>
        <w:rPr>
          <w:rFonts w:ascii="Times New Roman" w:hAnsi="Times New Roman" w:cs="Times New Roman"/>
        </w:rPr>
      </w:pPr>
      <w:r w:rsidRPr="00F00EE3">
        <w:rPr>
          <w:rFonts w:ascii="Times New Roman" w:hAnsi="Times New Roman" w:cs="Times New Roman"/>
        </w:rPr>
        <w:t xml:space="preserve">Esindamise alus </w:t>
      </w:r>
      <w:r w:rsidRPr="00F00EE3">
        <w:rPr>
          <w:rFonts w:ascii="Times New Roman" w:hAnsi="Times New Roman" w:cs="Times New Roman"/>
        </w:rPr>
        <w:tab/>
        <w:t>…………………………………</w:t>
      </w:r>
      <w:r w:rsidRPr="00F00EE3">
        <w:rPr>
          <w:rFonts w:ascii="Times New Roman" w:hAnsi="Times New Roman" w:cs="Times New Roman"/>
        </w:rPr>
        <w:tab/>
      </w:r>
    </w:p>
    <w:p w14:paraId="261828D8" w14:textId="77777777" w:rsidR="001B1CD8" w:rsidRPr="00F00EE3" w:rsidRDefault="001B1CD8" w:rsidP="001B1CD8">
      <w:pPr>
        <w:pStyle w:val="BodyText"/>
        <w:rPr>
          <w:rFonts w:ascii="Times New Roman" w:hAnsi="Times New Roman" w:cs="Times New Roman"/>
        </w:rPr>
      </w:pPr>
    </w:p>
    <w:p w14:paraId="07E3BCCA" w14:textId="77777777" w:rsidR="001B1CD8" w:rsidRPr="00F00EE3" w:rsidRDefault="001B1CD8" w:rsidP="001B1CD8">
      <w:pPr>
        <w:pStyle w:val="BodyText"/>
        <w:rPr>
          <w:rFonts w:ascii="Times New Roman" w:hAnsi="Times New Roman" w:cs="Times New Roman"/>
        </w:rPr>
      </w:pPr>
    </w:p>
    <w:p w14:paraId="46CE4E73" w14:textId="77777777" w:rsidR="001B1CD8" w:rsidRPr="00F00EE3" w:rsidRDefault="001B1CD8" w:rsidP="001B1CD8">
      <w:pPr>
        <w:pStyle w:val="BodyText"/>
        <w:rPr>
          <w:rFonts w:ascii="Times New Roman" w:hAnsi="Times New Roman" w:cs="Times New Roman"/>
        </w:rPr>
      </w:pPr>
      <w:r w:rsidRPr="00F00EE3">
        <w:rPr>
          <w:rFonts w:ascii="Times New Roman" w:hAnsi="Times New Roman" w:cs="Times New Roman"/>
        </w:rPr>
        <w:t>Allkiri:</w:t>
      </w:r>
      <w:r w:rsidRPr="00F00EE3">
        <w:rPr>
          <w:rFonts w:ascii="Times New Roman" w:hAnsi="Times New Roman" w:cs="Times New Roman"/>
        </w:rPr>
        <w:tab/>
      </w:r>
      <w:r w:rsidRPr="00F00EE3">
        <w:rPr>
          <w:rFonts w:ascii="Times New Roman" w:hAnsi="Times New Roman" w:cs="Times New Roman"/>
        </w:rPr>
        <w:tab/>
        <w:t>______________________</w:t>
      </w:r>
    </w:p>
    <w:p w14:paraId="73A46D0A" w14:textId="77777777" w:rsidR="001B1CD8" w:rsidRPr="00F00EE3" w:rsidRDefault="001B1CD8" w:rsidP="001B1CD8">
      <w:pPr>
        <w:pStyle w:val="BodyText"/>
        <w:rPr>
          <w:rFonts w:ascii="Times New Roman" w:hAnsi="Times New Roman" w:cs="Times New Roman"/>
        </w:rPr>
      </w:pPr>
    </w:p>
    <w:p w14:paraId="05F7FB9E" w14:textId="77777777" w:rsidR="001B1CD8" w:rsidRPr="00F00EE3" w:rsidRDefault="001B1CD8" w:rsidP="001B1CD8">
      <w:pPr>
        <w:pStyle w:val="BodyText"/>
        <w:rPr>
          <w:rFonts w:ascii="Times New Roman" w:hAnsi="Times New Roman" w:cs="Times New Roman"/>
        </w:rPr>
      </w:pPr>
    </w:p>
    <w:p w14:paraId="157C8DEE" w14:textId="77777777" w:rsidR="001B1CD8" w:rsidRPr="00F00EE3" w:rsidRDefault="001B1CD8" w:rsidP="001B1CD8">
      <w:pPr>
        <w:pStyle w:val="BodyText"/>
        <w:rPr>
          <w:rFonts w:ascii="Times New Roman" w:hAnsi="Times New Roman" w:cs="Times New Roman"/>
        </w:rPr>
      </w:pPr>
      <w:r w:rsidRPr="00F00EE3">
        <w:rPr>
          <w:rFonts w:ascii="Times New Roman" w:hAnsi="Times New Roman" w:cs="Times New Roman"/>
        </w:rPr>
        <w:t>Kuupäev:</w:t>
      </w:r>
      <w:r w:rsidRPr="00F00EE3">
        <w:rPr>
          <w:rFonts w:ascii="Times New Roman" w:hAnsi="Times New Roman" w:cs="Times New Roman"/>
        </w:rPr>
        <w:tab/>
        <w:t>____________________</w:t>
      </w:r>
    </w:p>
    <w:p w14:paraId="665D9968" w14:textId="77777777" w:rsidR="001B1CD8" w:rsidRPr="00F00EE3" w:rsidRDefault="001B1CD8" w:rsidP="001B1CD8">
      <w:pPr>
        <w:pStyle w:val="BodyText"/>
        <w:rPr>
          <w:rFonts w:ascii="Times New Roman" w:hAnsi="Times New Roman" w:cs="Times New Roman"/>
        </w:rPr>
      </w:pPr>
    </w:p>
    <w:p w14:paraId="2FD32298" w14:textId="77777777" w:rsidR="001B1CD8" w:rsidRPr="00F00EE3" w:rsidRDefault="001B1CD8" w:rsidP="001B1CD8">
      <w:pPr>
        <w:jc w:val="both"/>
      </w:pPr>
    </w:p>
    <w:p w14:paraId="51E2E5B4" w14:textId="77777777" w:rsidR="001B1CD8" w:rsidRPr="00F00EE3" w:rsidRDefault="001B1CD8" w:rsidP="001B1CD8">
      <w:pPr>
        <w:jc w:val="both"/>
      </w:pPr>
    </w:p>
    <w:p w14:paraId="089304FC" w14:textId="77777777" w:rsidR="001B1CD8" w:rsidRPr="00F00EE3" w:rsidRDefault="001B1CD8" w:rsidP="001B1CD8">
      <w:pPr>
        <w:jc w:val="both"/>
      </w:pPr>
      <w:r w:rsidRPr="00F00EE3">
        <w:t>Lisatud (vajadusel)</w:t>
      </w:r>
    </w:p>
    <w:p w14:paraId="3DEEC669" w14:textId="77777777" w:rsidR="007F52F1" w:rsidRPr="00F00EE3" w:rsidRDefault="007F52F1" w:rsidP="00113D3E"/>
    <w:p w14:paraId="4BC7B726" w14:textId="48F8DA61" w:rsidR="00B5063B" w:rsidRPr="00F00EE3" w:rsidRDefault="008E40E0" w:rsidP="002A7B84">
      <w:r w:rsidRPr="00F00EE3">
        <w:br w:type="page"/>
      </w:r>
      <w:r w:rsidR="00B5063B" w:rsidRPr="00F00EE3">
        <w:lastRenderedPageBreak/>
        <w:t xml:space="preserve"> </w:t>
      </w:r>
    </w:p>
    <w:sectPr w:rsidR="00B5063B" w:rsidRPr="00F00EE3"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1603B"/>
    <w:rsid w:val="00021197"/>
    <w:rsid w:val="00026A40"/>
    <w:rsid w:val="00040F17"/>
    <w:rsid w:val="00047537"/>
    <w:rsid w:val="0005386F"/>
    <w:rsid w:val="000747AF"/>
    <w:rsid w:val="00097211"/>
    <w:rsid w:val="000A4D30"/>
    <w:rsid w:val="000A617F"/>
    <w:rsid w:val="000A69E4"/>
    <w:rsid w:val="000D44B0"/>
    <w:rsid w:val="000D5C09"/>
    <w:rsid w:val="000E54AA"/>
    <w:rsid w:val="000F67D4"/>
    <w:rsid w:val="001046E0"/>
    <w:rsid w:val="00113D3E"/>
    <w:rsid w:val="00130BB8"/>
    <w:rsid w:val="00130CA4"/>
    <w:rsid w:val="0013198D"/>
    <w:rsid w:val="00137CB8"/>
    <w:rsid w:val="00141DBB"/>
    <w:rsid w:val="00152247"/>
    <w:rsid w:val="001522C5"/>
    <w:rsid w:val="001529A8"/>
    <w:rsid w:val="001749E7"/>
    <w:rsid w:val="001818D7"/>
    <w:rsid w:val="0018218D"/>
    <w:rsid w:val="001A451A"/>
    <w:rsid w:val="001A7F99"/>
    <w:rsid w:val="001B1CD8"/>
    <w:rsid w:val="001C70D5"/>
    <w:rsid w:val="001C72F2"/>
    <w:rsid w:val="001D2ED7"/>
    <w:rsid w:val="001D3B7B"/>
    <w:rsid w:val="001E2F7B"/>
    <w:rsid w:val="001E5FAE"/>
    <w:rsid w:val="001E64AF"/>
    <w:rsid w:val="001E7A85"/>
    <w:rsid w:val="001F1D0B"/>
    <w:rsid w:val="00215E71"/>
    <w:rsid w:val="00230905"/>
    <w:rsid w:val="00243389"/>
    <w:rsid w:val="00245E60"/>
    <w:rsid w:val="002504EA"/>
    <w:rsid w:val="00255236"/>
    <w:rsid w:val="00266522"/>
    <w:rsid w:val="00270E2A"/>
    <w:rsid w:val="002826D8"/>
    <w:rsid w:val="00287CC0"/>
    <w:rsid w:val="00291798"/>
    <w:rsid w:val="002955F7"/>
    <w:rsid w:val="002A7B84"/>
    <w:rsid w:val="002B2234"/>
    <w:rsid w:val="002C703F"/>
    <w:rsid w:val="002E15C2"/>
    <w:rsid w:val="003107FD"/>
    <w:rsid w:val="003446CA"/>
    <w:rsid w:val="00350074"/>
    <w:rsid w:val="0036239D"/>
    <w:rsid w:val="003677E9"/>
    <w:rsid w:val="003744D3"/>
    <w:rsid w:val="00381075"/>
    <w:rsid w:val="00384724"/>
    <w:rsid w:val="0039414A"/>
    <w:rsid w:val="00397B29"/>
    <w:rsid w:val="003A0617"/>
    <w:rsid w:val="003E6AB7"/>
    <w:rsid w:val="003E6C87"/>
    <w:rsid w:val="003F3214"/>
    <w:rsid w:val="003F4B63"/>
    <w:rsid w:val="004012F5"/>
    <w:rsid w:val="00404B64"/>
    <w:rsid w:val="004131C0"/>
    <w:rsid w:val="00417CBD"/>
    <w:rsid w:val="00421861"/>
    <w:rsid w:val="004220B7"/>
    <w:rsid w:val="004261D9"/>
    <w:rsid w:val="00426818"/>
    <w:rsid w:val="00426CB0"/>
    <w:rsid w:val="004270E7"/>
    <w:rsid w:val="00452226"/>
    <w:rsid w:val="00461104"/>
    <w:rsid w:val="004656CC"/>
    <w:rsid w:val="004739B7"/>
    <w:rsid w:val="004A0BF5"/>
    <w:rsid w:val="004A4D50"/>
    <w:rsid w:val="004B4F24"/>
    <w:rsid w:val="004C0391"/>
    <w:rsid w:val="004C698F"/>
    <w:rsid w:val="004E3DE5"/>
    <w:rsid w:val="004E4D24"/>
    <w:rsid w:val="0050505C"/>
    <w:rsid w:val="005303F5"/>
    <w:rsid w:val="005513A1"/>
    <w:rsid w:val="00564B70"/>
    <w:rsid w:val="00574F41"/>
    <w:rsid w:val="00576D9F"/>
    <w:rsid w:val="00584DAF"/>
    <w:rsid w:val="00587BE8"/>
    <w:rsid w:val="005923A1"/>
    <w:rsid w:val="005A2EF0"/>
    <w:rsid w:val="005A5948"/>
    <w:rsid w:val="005A638F"/>
    <w:rsid w:val="005B1D71"/>
    <w:rsid w:val="005D22AE"/>
    <w:rsid w:val="005E00C6"/>
    <w:rsid w:val="005E1472"/>
    <w:rsid w:val="005E149B"/>
    <w:rsid w:val="005F14E1"/>
    <w:rsid w:val="005F32FE"/>
    <w:rsid w:val="00636B21"/>
    <w:rsid w:val="006374C1"/>
    <w:rsid w:val="00647857"/>
    <w:rsid w:val="00655926"/>
    <w:rsid w:val="00667589"/>
    <w:rsid w:val="00673961"/>
    <w:rsid w:val="00674348"/>
    <w:rsid w:val="00677CC8"/>
    <w:rsid w:val="00685502"/>
    <w:rsid w:val="00686EAB"/>
    <w:rsid w:val="006922E3"/>
    <w:rsid w:val="006931FF"/>
    <w:rsid w:val="006B0B2A"/>
    <w:rsid w:val="006B167A"/>
    <w:rsid w:val="006C0CBC"/>
    <w:rsid w:val="006C1A56"/>
    <w:rsid w:val="00711CC7"/>
    <w:rsid w:val="00717420"/>
    <w:rsid w:val="007252B4"/>
    <w:rsid w:val="00744EBA"/>
    <w:rsid w:val="00754F96"/>
    <w:rsid w:val="00787ACD"/>
    <w:rsid w:val="0079271E"/>
    <w:rsid w:val="007934E3"/>
    <w:rsid w:val="007A4AE2"/>
    <w:rsid w:val="007A52E7"/>
    <w:rsid w:val="007B7F1E"/>
    <w:rsid w:val="007C6018"/>
    <w:rsid w:val="007D2C52"/>
    <w:rsid w:val="007E6DD8"/>
    <w:rsid w:val="007F0137"/>
    <w:rsid w:val="007F52F1"/>
    <w:rsid w:val="00813547"/>
    <w:rsid w:val="00815CD0"/>
    <w:rsid w:val="0082094B"/>
    <w:rsid w:val="00820F53"/>
    <w:rsid w:val="00831097"/>
    <w:rsid w:val="00840C40"/>
    <w:rsid w:val="0084509A"/>
    <w:rsid w:val="0085651B"/>
    <w:rsid w:val="00884065"/>
    <w:rsid w:val="008938EB"/>
    <w:rsid w:val="00894D9B"/>
    <w:rsid w:val="00895CBC"/>
    <w:rsid w:val="008E0BFC"/>
    <w:rsid w:val="008E40E0"/>
    <w:rsid w:val="00902305"/>
    <w:rsid w:val="009179E8"/>
    <w:rsid w:val="00922E57"/>
    <w:rsid w:val="009230CA"/>
    <w:rsid w:val="0092479C"/>
    <w:rsid w:val="00931714"/>
    <w:rsid w:val="00932221"/>
    <w:rsid w:val="00934A66"/>
    <w:rsid w:val="009440F8"/>
    <w:rsid w:val="00945184"/>
    <w:rsid w:val="009459C9"/>
    <w:rsid w:val="00946B59"/>
    <w:rsid w:val="00951AC8"/>
    <w:rsid w:val="0097284B"/>
    <w:rsid w:val="00984770"/>
    <w:rsid w:val="00995247"/>
    <w:rsid w:val="009A09AD"/>
    <w:rsid w:val="009A546A"/>
    <w:rsid w:val="009B347D"/>
    <w:rsid w:val="009B5424"/>
    <w:rsid w:val="009C0A4C"/>
    <w:rsid w:val="009D20AD"/>
    <w:rsid w:val="009D687E"/>
    <w:rsid w:val="009E064D"/>
    <w:rsid w:val="00A20496"/>
    <w:rsid w:val="00A22C19"/>
    <w:rsid w:val="00A23118"/>
    <w:rsid w:val="00A24755"/>
    <w:rsid w:val="00A36769"/>
    <w:rsid w:val="00A41740"/>
    <w:rsid w:val="00A42DEF"/>
    <w:rsid w:val="00A4782E"/>
    <w:rsid w:val="00A55DA9"/>
    <w:rsid w:val="00A57DF5"/>
    <w:rsid w:val="00A61557"/>
    <w:rsid w:val="00A70BBD"/>
    <w:rsid w:val="00A770B3"/>
    <w:rsid w:val="00AA6490"/>
    <w:rsid w:val="00AB309A"/>
    <w:rsid w:val="00AB7883"/>
    <w:rsid w:val="00AD0199"/>
    <w:rsid w:val="00AD0D65"/>
    <w:rsid w:val="00AD1400"/>
    <w:rsid w:val="00AD5966"/>
    <w:rsid w:val="00B03E06"/>
    <w:rsid w:val="00B05777"/>
    <w:rsid w:val="00B112B5"/>
    <w:rsid w:val="00B136FF"/>
    <w:rsid w:val="00B17395"/>
    <w:rsid w:val="00B27125"/>
    <w:rsid w:val="00B43F0E"/>
    <w:rsid w:val="00B44359"/>
    <w:rsid w:val="00B5026A"/>
    <w:rsid w:val="00B5063B"/>
    <w:rsid w:val="00B63AEC"/>
    <w:rsid w:val="00B840A9"/>
    <w:rsid w:val="00BA3E62"/>
    <w:rsid w:val="00BA609A"/>
    <w:rsid w:val="00BB0FAD"/>
    <w:rsid w:val="00BD68F9"/>
    <w:rsid w:val="00BE07B6"/>
    <w:rsid w:val="00C105AC"/>
    <w:rsid w:val="00C359F7"/>
    <w:rsid w:val="00C503A9"/>
    <w:rsid w:val="00C534E4"/>
    <w:rsid w:val="00C67F9C"/>
    <w:rsid w:val="00C76617"/>
    <w:rsid w:val="00C9125F"/>
    <w:rsid w:val="00C93895"/>
    <w:rsid w:val="00CB009B"/>
    <w:rsid w:val="00CB13C7"/>
    <w:rsid w:val="00CB70FC"/>
    <w:rsid w:val="00CC310B"/>
    <w:rsid w:val="00CC745B"/>
    <w:rsid w:val="00D13C4E"/>
    <w:rsid w:val="00D4267E"/>
    <w:rsid w:val="00D44BE0"/>
    <w:rsid w:val="00D63B00"/>
    <w:rsid w:val="00DB3D91"/>
    <w:rsid w:val="00DC63A0"/>
    <w:rsid w:val="00DE1472"/>
    <w:rsid w:val="00E12856"/>
    <w:rsid w:val="00E14762"/>
    <w:rsid w:val="00E148C9"/>
    <w:rsid w:val="00E17CF5"/>
    <w:rsid w:val="00E20951"/>
    <w:rsid w:val="00E2258F"/>
    <w:rsid w:val="00E239CF"/>
    <w:rsid w:val="00E245A7"/>
    <w:rsid w:val="00E517D3"/>
    <w:rsid w:val="00E53A5A"/>
    <w:rsid w:val="00E5412E"/>
    <w:rsid w:val="00E67DCC"/>
    <w:rsid w:val="00E74DED"/>
    <w:rsid w:val="00E847D8"/>
    <w:rsid w:val="00EC5AD9"/>
    <w:rsid w:val="00EE50FC"/>
    <w:rsid w:val="00EF6C2B"/>
    <w:rsid w:val="00F00EE3"/>
    <w:rsid w:val="00F04BD8"/>
    <w:rsid w:val="00F04EB8"/>
    <w:rsid w:val="00F1512E"/>
    <w:rsid w:val="00F20354"/>
    <w:rsid w:val="00F24012"/>
    <w:rsid w:val="00F24B30"/>
    <w:rsid w:val="00F334FE"/>
    <w:rsid w:val="00F36D14"/>
    <w:rsid w:val="00F53A86"/>
    <w:rsid w:val="00F74623"/>
    <w:rsid w:val="00F852F4"/>
    <w:rsid w:val="00F97C20"/>
    <w:rsid w:val="00FA0C31"/>
    <w:rsid w:val="00FB1159"/>
    <w:rsid w:val="00FB52AA"/>
    <w:rsid w:val="00FC6FE4"/>
    <w:rsid w:val="00FD1F0F"/>
    <w:rsid w:val="00FE093C"/>
    <w:rsid w:val="00FF4A77"/>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val="et-EE"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Heading3">
    <w:name w:val="heading 3"/>
    <w:basedOn w:val="Normal"/>
    <w:next w:val="Normal"/>
    <w:qFormat/>
    <w:pPr>
      <w:keepNext/>
      <w:numPr>
        <w:ilvl w:val="2"/>
        <w:numId w:val="1"/>
      </w:numPr>
      <w:spacing w:before="280" w:after="120"/>
      <w:jc w:val="both"/>
      <w:outlineLvl w:val="2"/>
    </w:pPr>
    <w:rPr>
      <w:rFonts w:ascii="Verdana" w:hAnsi="Verdana" w:cs="Verdana"/>
      <w:b/>
      <w:bCs/>
      <w:sz w:val="20"/>
      <w:szCs w:val="20"/>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yperlink">
    <w:name w:val="Hyperlink"/>
    <w:uiPriority w:val="99"/>
    <w:rPr>
      <w:color w:val="0000FF"/>
      <w:u w:val="single"/>
    </w:rPr>
  </w:style>
  <w:style w:type="character" w:customStyle="1" w:styleId="regnr1">
    <w:name w:val="regnr1"/>
    <w:rPr>
      <w:b/>
      <w:bCs/>
    </w:rPr>
  </w:style>
  <w:style w:type="character" w:styleId="Strong">
    <w:name w:val="Strong"/>
    <w:qFormat/>
    <w:rPr>
      <w:b/>
      <w:bCs/>
    </w:rPr>
  </w:style>
  <w:style w:type="character" w:customStyle="1" w:styleId="Nummerdussmbolid">
    <w:name w:val="Nummerdussümbolid"/>
  </w:style>
  <w:style w:type="paragraph" w:styleId="Title">
    <w:name w:val="Title"/>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jc w:val="both"/>
    </w:pPr>
    <w:rPr>
      <w:rFonts w:ascii="Verdana" w:hAnsi="Verdana" w:cs="Verdana"/>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FreeSans"/>
      <w:i/>
      <w:iCs/>
    </w:rPr>
  </w:style>
  <w:style w:type="paragraph" w:customStyle="1" w:styleId="Register">
    <w:name w:val="Register"/>
    <w:basedOn w:val="Normal"/>
    <w:pPr>
      <w:suppressLineNumbers/>
    </w:pPr>
    <w:rPr>
      <w:rFonts w:cs="Tahoma"/>
    </w:rPr>
  </w:style>
  <w:style w:type="paragraph" w:customStyle="1" w:styleId="Pealkiri1">
    <w:name w:val="Pealkiri1"/>
    <w:basedOn w:val="Normal"/>
    <w:next w:val="BodyText"/>
    <w:pPr>
      <w:keepNext/>
      <w:spacing w:before="240" w:after="120"/>
    </w:pPr>
    <w:rPr>
      <w:rFonts w:ascii="Arial" w:eastAsia="Lucida Sans Unicode" w:hAnsi="Arial" w:cs="Tahoma"/>
      <w:sz w:val="28"/>
      <w:szCs w:val="28"/>
    </w:rPr>
  </w:style>
  <w:style w:type="paragraph" w:customStyle="1" w:styleId="Pealdis3">
    <w:name w:val="Pealdis3"/>
    <w:basedOn w:val="Normal"/>
    <w:pPr>
      <w:suppressLineNumbers/>
      <w:spacing w:before="120" w:after="120"/>
    </w:pPr>
    <w:rPr>
      <w:rFonts w:cs="Tahoma"/>
      <w:i/>
      <w:iCs/>
    </w:rPr>
  </w:style>
  <w:style w:type="paragraph" w:customStyle="1" w:styleId="Pealdis2">
    <w:name w:val="Pealdis2"/>
    <w:basedOn w:val="Normal"/>
    <w:pPr>
      <w:suppressLineNumbers/>
      <w:spacing w:before="120" w:after="120"/>
    </w:pPr>
    <w:rPr>
      <w:rFonts w:cs="Tahoma"/>
      <w:i/>
      <w:iCs/>
    </w:rPr>
  </w:style>
  <w:style w:type="paragraph" w:customStyle="1" w:styleId="Pealdis1">
    <w:name w:val="Pealdis1"/>
    <w:basedOn w:val="Normal"/>
    <w:pPr>
      <w:suppressLineNumbers/>
      <w:spacing w:before="120" w:after="120"/>
    </w:pPr>
    <w:rPr>
      <w:rFonts w:cs="Tahoma"/>
      <w:i/>
      <w:iCs/>
    </w:rPr>
  </w:style>
  <w:style w:type="paragraph" w:customStyle="1" w:styleId="WW-NormalIndent">
    <w:name w:val="WW-Normal Indent"/>
    <w:basedOn w:val="Normal"/>
    <w:pPr>
      <w:spacing w:before="60"/>
      <w:ind w:left="1985" w:firstLine="1"/>
    </w:pPr>
    <w:rPr>
      <w:rFonts w:ascii="Verdana" w:hAnsi="Verdana" w:cs="Verdana"/>
    </w:rPr>
  </w:style>
  <w:style w:type="paragraph" w:styleId="Footer">
    <w:name w:val="footer"/>
    <w:basedOn w:val="Normal"/>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l"/>
    <w:rPr>
      <w:spacing w:val="-3"/>
      <w:szCs w:val="20"/>
    </w:rPr>
  </w:style>
  <w:style w:type="paragraph" w:customStyle="1" w:styleId="Normaaltaane1">
    <w:name w:val="Normaaltaane1"/>
    <w:basedOn w:val="Normal"/>
    <w:pPr>
      <w:spacing w:before="60"/>
      <w:ind w:left="1985"/>
    </w:pPr>
    <w:rPr>
      <w:szCs w:val="20"/>
    </w:rPr>
  </w:style>
  <w:style w:type="paragraph" w:styleId="BalloonText">
    <w:name w:val="Balloon Text"/>
    <w:basedOn w:val="Normal"/>
    <w:rPr>
      <w:rFonts w:ascii="Tahoma" w:hAnsi="Tahoma" w:cs="Tahoma"/>
      <w:sz w:val="16"/>
      <w:szCs w:val="16"/>
    </w:r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customStyle="1" w:styleId="taand">
    <w:name w:val="taand"/>
    <w:basedOn w:val="Normal"/>
    <w:pPr>
      <w:tabs>
        <w:tab w:val="left" w:pos="18286"/>
      </w:tabs>
      <w:ind w:left="1701"/>
    </w:pPr>
    <w:rPr>
      <w:color w:val="000000"/>
      <w:sz w:val="20"/>
    </w:rPr>
  </w:style>
  <w:style w:type="paragraph" w:customStyle="1" w:styleId="western">
    <w:name w:val="western"/>
    <w:basedOn w:val="Normal"/>
    <w:pPr>
      <w:suppressAutoHyphens w:val="0"/>
      <w:spacing w:before="280"/>
      <w:jc w:val="both"/>
    </w:pPr>
    <w:rPr>
      <w:color w:val="000000"/>
    </w:rPr>
  </w:style>
  <w:style w:type="paragraph" w:styleId="NormalWeb">
    <w:name w:val="Normal (Web)"/>
    <w:basedOn w:val="Normal"/>
    <w:pPr>
      <w:suppressAutoHyphens w:val="0"/>
      <w:spacing w:before="280"/>
      <w:jc w:val="both"/>
    </w:pPr>
    <w:rPr>
      <w:color w:val="000000"/>
    </w:rPr>
  </w:style>
  <w:style w:type="paragraph" w:styleId="Header">
    <w:name w:val="header"/>
    <w:basedOn w:val="Normal"/>
    <w:pPr>
      <w:tabs>
        <w:tab w:val="center" w:pos="4536"/>
        <w:tab w:val="right" w:pos="9072"/>
      </w:tabs>
      <w:suppressAutoHyphens w:val="0"/>
    </w:pPr>
  </w:style>
  <w:style w:type="paragraph" w:customStyle="1" w:styleId="vv">
    <w:name w:val="vv"/>
    <w:basedOn w:val="Normal"/>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UnresolvedMention">
    <w:name w:val="Unresolved Mention"/>
    <w:uiPriority w:val="99"/>
    <w:semiHidden/>
    <w:unhideWhenUsed/>
    <w:rsid w:val="001E7A85"/>
    <w:rPr>
      <w:color w:val="808080"/>
      <w:shd w:val="clear" w:color="auto" w:fill="E6E6E6"/>
    </w:rPr>
  </w:style>
  <w:style w:type="paragraph" w:styleId="ListParagraph">
    <w:name w:val="List Paragraph"/>
    <w:basedOn w:val="Normal"/>
    <w:uiPriority w:val="34"/>
    <w:qFormat/>
    <w:rsid w:val="007F52F1"/>
    <w:pPr>
      <w:ind w:left="720"/>
    </w:pPr>
  </w:style>
  <w:style w:type="character" w:styleId="FollowedHyperlink">
    <w:name w:val="FollowedHyperlink"/>
    <w:uiPriority w:val="99"/>
    <w:unhideWhenUsed/>
    <w:rsid w:val="0050505C"/>
    <w:rPr>
      <w:color w:val="954F72"/>
      <w:u w:val="single"/>
    </w:rPr>
  </w:style>
  <w:style w:type="paragraph" w:customStyle="1" w:styleId="msonormal0">
    <w:name w:val="msonormal"/>
    <w:basedOn w:val="Normal"/>
    <w:rsid w:val="0050505C"/>
    <w:pPr>
      <w:suppressAutoHyphens w:val="0"/>
      <w:spacing w:before="100" w:beforeAutospacing="1" w:after="100" w:afterAutospacing="1"/>
    </w:pPr>
    <w:rPr>
      <w:lang w:val="en-US" w:eastAsia="en-US"/>
    </w:rPr>
  </w:style>
  <w:style w:type="paragraph" w:customStyle="1" w:styleId="xl63">
    <w:name w:val="xl63"/>
    <w:basedOn w:val="Normal"/>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l"/>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l"/>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l"/>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l"/>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l"/>
    <w:rsid w:val="0050505C"/>
    <w:pPr>
      <w:suppressAutoHyphens w:val="0"/>
      <w:spacing w:before="100" w:beforeAutospacing="1" w:after="100" w:afterAutospacing="1"/>
    </w:pPr>
    <w:rPr>
      <w:b/>
      <w:bCs/>
      <w:lang w:val="en-US" w:eastAsia="en-US"/>
    </w:rPr>
  </w:style>
  <w:style w:type="paragraph" w:customStyle="1" w:styleId="xl77">
    <w:name w:val="xl77"/>
    <w:basedOn w:val="Normal"/>
    <w:rsid w:val="0050505C"/>
    <w:pPr>
      <w:suppressAutoHyphens w:val="0"/>
      <w:spacing w:before="100" w:beforeAutospacing="1" w:after="100" w:afterAutospacing="1"/>
    </w:pPr>
    <w:rPr>
      <w:lang w:val="en-US" w:eastAsia="en-US"/>
    </w:rPr>
  </w:style>
  <w:style w:type="paragraph" w:customStyle="1" w:styleId="xl78">
    <w:name w:val="xl78"/>
    <w:basedOn w:val="Normal"/>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l"/>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l"/>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l"/>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l"/>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TableGrid">
    <w:name w:val="Table Grid"/>
    <w:basedOn w:val="TableNorma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l"/>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l"/>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l"/>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l"/>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l"/>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l"/>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l"/>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n.mager@paid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n.mager@paide.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n.mager@paide.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718bd0b00b3a7a8ecf9d8ec50ade3258">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cc69adb717c6ccdd40d282c89a7cf10e"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364A-BD72-4053-94A4-C137CD673ED2}">
  <ds:schemaRefs>
    <ds:schemaRef ds:uri="http://purl.org/dc/dcmitype/"/>
    <ds:schemaRef ds:uri="http://schemas.microsoft.com/office/infopath/2007/PartnerControls"/>
    <ds:schemaRef ds:uri="95337eae-e0ad-4fbd-ad68-e8b401c1fc23"/>
    <ds:schemaRef ds:uri="http://schemas.microsoft.com/office/2006/documentManagement/types"/>
    <ds:schemaRef ds:uri="http://schemas.microsoft.com/office/2006/metadata/properties"/>
    <ds:schemaRef ds:uri="3631ad99-96a3-4763-80cb-6c22c49f4121"/>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8CDA690-7091-4DE1-8801-6424E0BD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4.xml><?xml version="1.0" encoding="utf-8"?>
<ds:datastoreItem xmlns:ds="http://schemas.openxmlformats.org/officeDocument/2006/customXml" ds:itemID="{E07E951F-55E7-4C2C-B4EB-8ACCC950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2798</TotalTime>
  <Pages>6</Pages>
  <Words>1979</Words>
  <Characters>11479</Characters>
  <Application>Microsoft Office Word</Application>
  <DocSecurity>0</DocSecurity>
  <Lines>95</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Türi valla haljastuse hankejuhend</vt:lpstr>
      <vt:lpstr>Türi valla haljastuse hankejuhend</vt:lpstr>
    </vt:vector>
  </TitlesOfParts>
  <Company>Türi Vallavalitsus</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32</cp:revision>
  <cp:lastPrinted>2022-04-25T07:49:00Z</cp:lastPrinted>
  <dcterms:created xsi:type="dcterms:W3CDTF">2025-11-03T11:31:00Z</dcterms:created>
  <dcterms:modified xsi:type="dcterms:W3CDTF">2025-11-10T11:08:00Z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